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C43E" w14:textId="77777777" w:rsidR="0008755B" w:rsidRPr="00F55BDF" w:rsidRDefault="0008755B" w:rsidP="0008755B">
      <w:pPr>
        <w:jc w:val="right"/>
        <w:rPr>
          <w:rFonts w:ascii="Myriad Pro" w:hAnsi="Myriad Pro"/>
        </w:rPr>
      </w:pPr>
      <w:r w:rsidRPr="00F55BDF">
        <w:rPr>
          <w:rFonts w:ascii="Myriad Pro" w:hAnsi="Myriad Pro"/>
          <w:noProof/>
          <w:lang w:eastAsia="fr-FR"/>
        </w:rPr>
        <mc:AlternateContent>
          <mc:Choice Requires="wps">
            <w:drawing>
              <wp:anchor distT="0" distB="0" distL="114300" distR="114300" simplePos="0" relativeHeight="251659264" behindDoc="0" locked="0" layoutInCell="1" allowOverlap="1" wp14:anchorId="2C024085" wp14:editId="6D720335">
                <wp:simplePos x="0" y="0"/>
                <wp:positionH relativeFrom="column">
                  <wp:posOffset>4629150</wp:posOffset>
                </wp:positionH>
                <wp:positionV relativeFrom="paragraph">
                  <wp:posOffset>-209550</wp:posOffset>
                </wp:positionV>
                <wp:extent cx="1019175" cy="2211705"/>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1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4FFBC" w14:textId="77777777" w:rsidR="00D970D6" w:rsidRDefault="00D970D6" w:rsidP="0008755B">
                            <w:r>
                              <w:rPr>
                                <w:noProof/>
                                <w:lang w:eastAsia="fr-FR"/>
                              </w:rPr>
                              <w:drawing>
                                <wp:inline distT="0" distB="0" distL="0" distR="0" wp14:anchorId="53212765" wp14:editId="39F130AC">
                                  <wp:extent cx="762000" cy="2057400"/>
                                  <wp:effectExtent l="0" t="0" r="0" b="0"/>
                                  <wp:docPr id="1" name="Picture 3" descr="C:\Users\justice.rakotonandra\Pictures\PNUD_Logo-Bleu-Taglin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e.rakotonandra\Pictures\PNUD_Logo-Bleu-Tagline-Ble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057400"/>
                                          </a:xfrm>
                                          <a:prstGeom prst="rect">
                                            <a:avLst/>
                                          </a:prstGeom>
                                          <a:noFill/>
                                          <a:ln>
                                            <a:noFill/>
                                          </a:ln>
                                        </pic:spPr>
                                      </pic:pic>
                                    </a:graphicData>
                                  </a:graphic>
                                </wp:inline>
                              </w:drawing>
                            </w:r>
                          </w:p>
                          <w:p w14:paraId="1883D725" w14:textId="77777777" w:rsidR="00D970D6" w:rsidRPr="007224D1" w:rsidRDefault="00D970D6" w:rsidP="0008755B">
                            <w:pPr>
                              <w:rPr>
                                <w:rFonts w:ascii="Myriad Pro" w:eastAsia="Times New Roman" w:hAnsi="Myriad Pro" w:cs="Times New Roman"/>
                                <w:b/>
                                <w:color w:val="00CC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24085" id="_x0000_t202" coordsize="21600,21600" o:spt="202" path="m,l,21600r21600,l21600,xe">
                <v:stroke joinstyle="miter"/>
                <v:path gradientshapeok="t" o:connecttype="rect"/>
              </v:shapetype>
              <v:shape id="Text Box 4" o:spid="_x0000_s1026" type="#_x0000_t202" style="position:absolute;left:0;text-align:left;margin-left:364.5pt;margin-top:-16.5pt;width:80.25pt;height:1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" stroked="f">
                <v:textbox>
                  <w:txbxContent>
                    <w:p w14:paraId="7974FFBC" w14:textId="77777777" w:rsidR="00D970D6" w:rsidRDefault="00D970D6" w:rsidP="0008755B">
                      <w:r>
                        <w:rPr>
                          <w:noProof/>
                          <w:lang w:eastAsia="fr-FR"/>
                        </w:rPr>
                        <w:drawing>
                          <wp:inline distT="0" distB="0" distL="0" distR="0" wp14:anchorId="53212765" wp14:editId="39F130AC">
                            <wp:extent cx="762000" cy="2057400"/>
                            <wp:effectExtent l="0" t="0" r="0" b="0"/>
                            <wp:docPr id="1" name="Picture 3" descr="C:\Users\justice.rakotonandra\Pictures\PNUD_Logo-Bleu-Tagline-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e.rakotonandra\Pictures\PNUD_Logo-Bleu-Tagline-Ble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057400"/>
                                    </a:xfrm>
                                    <a:prstGeom prst="rect">
                                      <a:avLst/>
                                    </a:prstGeom>
                                    <a:noFill/>
                                    <a:ln>
                                      <a:noFill/>
                                    </a:ln>
                                  </pic:spPr>
                                </pic:pic>
                              </a:graphicData>
                            </a:graphic>
                          </wp:inline>
                        </w:drawing>
                      </w:r>
                    </w:p>
                    <w:p w14:paraId="1883D725" w14:textId="77777777" w:rsidR="00D970D6" w:rsidRPr="007224D1" w:rsidRDefault="00D970D6" w:rsidP="0008755B">
                      <w:pPr>
                        <w:rPr>
                          <w:rFonts w:ascii="Myriad Pro" w:eastAsia="Times New Roman" w:hAnsi="Myriad Pro" w:cs="Times New Roman"/>
                          <w:b/>
                          <w:color w:val="00CCFF"/>
                          <w:sz w:val="28"/>
                          <w:szCs w:val="28"/>
                        </w:rPr>
                      </w:pPr>
                    </w:p>
                  </w:txbxContent>
                </v:textbox>
              </v:shape>
            </w:pict>
          </mc:Fallback>
        </mc:AlternateContent>
      </w:r>
    </w:p>
    <w:p w14:paraId="72328158" w14:textId="77777777" w:rsidR="0008755B" w:rsidRPr="00F55BDF" w:rsidRDefault="0008755B" w:rsidP="0008755B">
      <w:pPr>
        <w:rPr>
          <w:rFonts w:ascii="Myriad Pro" w:hAnsi="Myriad Pro"/>
          <w:sz w:val="28"/>
          <w:szCs w:val="28"/>
        </w:rPr>
      </w:pPr>
    </w:p>
    <w:p w14:paraId="169912DE" w14:textId="77777777" w:rsidR="00C75840" w:rsidRPr="00F55BDF" w:rsidRDefault="00C75840" w:rsidP="0008755B">
      <w:pPr>
        <w:rPr>
          <w:rFonts w:ascii="Myriad Pro" w:hAnsi="Myriad Pro"/>
          <w:sz w:val="28"/>
          <w:szCs w:val="28"/>
        </w:rPr>
      </w:pPr>
    </w:p>
    <w:p w14:paraId="097598E8" w14:textId="77777777" w:rsidR="00C75840" w:rsidRPr="00F55BDF" w:rsidRDefault="00C75840" w:rsidP="0008755B">
      <w:pPr>
        <w:rPr>
          <w:rFonts w:ascii="Myriad Pro" w:hAnsi="Myriad Pro"/>
          <w:sz w:val="28"/>
          <w:szCs w:val="28"/>
        </w:rPr>
      </w:pPr>
    </w:p>
    <w:p w14:paraId="7F77AFFA" w14:textId="77777777" w:rsidR="0008755B" w:rsidRPr="00F55BDF" w:rsidRDefault="0008755B" w:rsidP="0008755B">
      <w:pPr>
        <w:rPr>
          <w:rFonts w:ascii="Myriad Pro" w:hAnsi="Myriad Pro"/>
          <w:sz w:val="28"/>
          <w:szCs w:val="28"/>
        </w:rPr>
      </w:pPr>
    </w:p>
    <w:p w14:paraId="2DA716C3" w14:textId="77777777" w:rsidR="0008755B" w:rsidRPr="00F55BDF" w:rsidRDefault="0008755B" w:rsidP="0008755B">
      <w:pPr>
        <w:rPr>
          <w:rFonts w:ascii="Myriad Pro" w:hAnsi="Myriad Pro"/>
          <w:sz w:val="28"/>
          <w:szCs w:val="28"/>
        </w:rPr>
      </w:pPr>
    </w:p>
    <w:p w14:paraId="7E2103F0" w14:textId="77777777" w:rsidR="0008755B" w:rsidRPr="00F55BDF" w:rsidRDefault="0008755B" w:rsidP="0008755B">
      <w:pPr>
        <w:pStyle w:val="BodyText"/>
        <w:jc w:val="center"/>
        <w:rPr>
          <w:b/>
          <w:color w:val="00CCFF"/>
          <w:sz w:val="28"/>
          <w:szCs w:val="28"/>
          <w:lang w:val="fr-FR"/>
        </w:rPr>
      </w:pPr>
      <w:bookmarkStart w:id="0" w:name="_Toc153888542"/>
      <w:bookmarkStart w:id="1" w:name="_Toc153888630"/>
      <w:bookmarkStart w:id="2" w:name="_Toc154140520"/>
      <w:bookmarkStart w:id="3" w:name="_Toc154140575"/>
    </w:p>
    <w:p w14:paraId="53A10ADE" w14:textId="77777777" w:rsidR="0008755B" w:rsidRPr="00F55BDF" w:rsidRDefault="0008755B" w:rsidP="0008755B">
      <w:pPr>
        <w:pStyle w:val="BodyText"/>
        <w:jc w:val="center"/>
        <w:rPr>
          <w:b/>
          <w:color w:val="548DD4" w:themeColor="text2" w:themeTint="99"/>
          <w:sz w:val="28"/>
          <w:szCs w:val="28"/>
          <w:lang w:val="fr-FR"/>
        </w:rPr>
      </w:pPr>
      <w:r w:rsidRPr="00F55BDF">
        <w:rPr>
          <w:b/>
          <w:color w:val="548DD4" w:themeColor="text2" w:themeTint="99"/>
          <w:sz w:val="28"/>
          <w:szCs w:val="28"/>
          <w:lang w:val="fr-FR"/>
        </w:rPr>
        <w:t>Programme des Nations Unies pour le Développe</w:t>
      </w:r>
      <w:r w:rsidR="00624F96" w:rsidRPr="00F55BDF">
        <w:rPr>
          <w:b/>
          <w:color w:val="548DD4" w:themeColor="text2" w:themeTint="99"/>
          <w:sz w:val="28"/>
          <w:szCs w:val="28"/>
          <w:lang w:val="fr-FR"/>
        </w:rPr>
        <w:t>men</w:t>
      </w:r>
      <w:r w:rsidRPr="00F55BDF">
        <w:rPr>
          <w:b/>
          <w:color w:val="548DD4" w:themeColor="text2" w:themeTint="99"/>
          <w:sz w:val="28"/>
          <w:szCs w:val="28"/>
          <w:lang w:val="fr-FR"/>
        </w:rPr>
        <w:t xml:space="preserve">t </w:t>
      </w:r>
      <w:bookmarkEnd w:id="0"/>
      <w:bookmarkEnd w:id="1"/>
      <w:bookmarkEnd w:id="2"/>
      <w:bookmarkEnd w:id="3"/>
    </w:p>
    <w:p w14:paraId="642ACA14" w14:textId="77777777" w:rsidR="0008755B" w:rsidRPr="00F55BDF" w:rsidRDefault="0008755B" w:rsidP="0008755B">
      <w:pPr>
        <w:pStyle w:val="BodyText"/>
        <w:jc w:val="center"/>
        <w:rPr>
          <w:b/>
          <w:color w:val="548DD4" w:themeColor="text2" w:themeTint="99"/>
          <w:sz w:val="28"/>
          <w:szCs w:val="28"/>
          <w:lang w:val="fr-FR"/>
        </w:rPr>
      </w:pPr>
      <w:r w:rsidRPr="00F55BDF">
        <w:rPr>
          <w:b/>
          <w:color w:val="548DD4" w:themeColor="text2" w:themeTint="99"/>
          <w:sz w:val="28"/>
          <w:szCs w:val="28"/>
          <w:lang w:val="fr-FR"/>
        </w:rPr>
        <w:t>Madagascar</w:t>
      </w:r>
    </w:p>
    <w:p w14:paraId="58973C87" w14:textId="3C38E313" w:rsidR="0008755B" w:rsidRPr="00F55BDF" w:rsidRDefault="00A92544" w:rsidP="0008755B">
      <w:pPr>
        <w:pStyle w:val="BodyText"/>
        <w:jc w:val="center"/>
        <w:rPr>
          <w:b/>
          <w:color w:val="548DD4" w:themeColor="text2" w:themeTint="99"/>
          <w:sz w:val="28"/>
          <w:szCs w:val="28"/>
          <w:lang w:val="fr-FR"/>
        </w:rPr>
      </w:pPr>
      <w:r w:rsidRPr="00F55BDF">
        <w:rPr>
          <w:b/>
          <w:color w:val="548DD4" w:themeColor="text2" w:themeTint="99"/>
          <w:sz w:val="28"/>
          <w:szCs w:val="28"/>
          <w:lang w:val="fr-FR"/>
        </w:rPr>
        <w:t>Approche paysage visant à protéger et gérer la biodiversité menacée à Madagascar en mettant l’accent sur la forêt sèche et épineuse de la région de l’Atsimo-Andrefana (APAA).</w:t>
      </w:r>
    </w:p>
    <w:p w14:paraId="3CF9EA06" w14:textId="1F55DE2B" w:rsidR="0008755B" w:rsidRPr="00F55BDF" w:rsidRDefault="0008755B" w:rsidP="0008755B">
      <w:pPr>
        <w:pStyle w:val="BodyText"/>
        <w:jc w:val="center"/>
        <w:rPr>
          <w:b/>
          <w:color w:val="548DD4" w:themeColor="text2" w:themeTint="99"/>
          <w:sz w:val="28"/>
          <w:szCs w:val="28"/>
          <w:lang w:val="fr-FR"/>
        </w:rPr>
      </w:pPr>
      <w:r w:rsidRPr="00F55BDF">
        <w:rPr>
          <w:b/>
          <w:color w:val="548DD4" w:themeColor="text2" w:themeTint="99"/>
          <w:sz w:val="28"/>
          <w:szCs w:val="28"/>
          <w:lang w:val="fr-FR"/>
        </w:rPr>
        <w:t xml:space="preserve"> Rapport </w:t>
      </w:r>
      <w:r w:rsidR="00203AE8" w:rsidRPr="00F55BDF">
        <w:rPr>
          <w:b/>
          <w:color w:val="548DD4" w:themeColor="text2" w:themeTint="99"/>
          <w:sz w:val="28"/>
          <w:szCs w:val="28"/>
          <w:lang w:val="fr-FR"/>
        </w:rPr>
        <w:t>annuel</w:t>
      </w:r>
      <w:r w:rsidRPr="00F55BDF">
        <w:rPr>
          <w:b/>
          <w:color w:val="548DD4" w:themeColor="text2" w:themeTint="99"/>
          <w:sz w:val="28"/>
          <w:szCs w:val="28"/>
          <w:lang w:val="fr-FR"/>
        </w:rPr>
        <w:t xml:space="preserve"> – </w:t>
      </w:r>
      <w:r w:rsidR="00A92544" w:rsidRPr="00F55BDF">
        <w:rPr>
          <w:b/>
          <w:color w:val="548DD4" w:themeColor="text2" w:themeTint="99"/>
          <w:sz w:val="28"/>
          <w:szCs w:val="28"/>
          <w:lang w:val="fr-FR"/>
        </w:rPr>
        <w:t>2019</w:t>
      </w:r>
    </w:p>
    <w:p w14:paraId="5A93BFFF" w14:textId="77777777" w:rsidR="0008755B" w:rsidRPr="00F55BDF" w:rsidRDefault="0008755B" w:rsidP="0008755B">
      <w:pPr>
        <w:pBdr>
          <w:bottom w:val="single" w:sz="4" w:space="0" w:color="auto"/>
        </w:pBdr>
        <w:jc w:val="center"/>
        <w:rPr>
          <w:rFonts w:ascii="Myriad Pro" w:hAnsi="Myriad Pro"/>
          <w:noProof/>
          <w:color w:val="548DD4" w:themeColor="text2" w:themeTint="99"/>
          <w:lang w:eastAsia="en-GB"/>
        </w:rPr>
      </w:pPr>
    </w:p>
    <w:p w14:paraId="33F600FD" w14:textId="77777777" w:rsidR="00B209C4" w:rsidRPr="00F55BDF" w:rsidRDefault="00B209C4" w:rsidP="0008755B">
      <w:pPr>
        <w:jc w:val="center"/>
        <w:rPr>
          <w:rFonts w:ascii="Myriad Pro" w:hAnsi="Myriad Pro"/>
          <w:b/>
          <w:color w:val="548DD4" w:themeColor="text2" w:themeTint="99"/>
        </w:rPr>
      </w:pPr>
    </w:p>
    <w:tbl>
      <w:tblPr>
        <w:tblStyle w:val="TableGrid"/>
        <w:tblW w:w="0" w:type="auto"/>
        <w:tblLook w:val="04A0" w:firstRow="1" w:lastRow="0" w:firstColumn="1" w:lastColumn="0" w:noHBand="0" w:noVBand="1"/>
      </w:tblPr>
      <w:tblGrid>
        <w:gridCol w:w="9062"/>
      </w:tblGrid>
      <w:tr w:rsidR="00B209C4" w:rsidRPr="00F55BDF" w14:paraId="6F3AD53B" w14:textId="77777777" w:rsidTr="00B209C4">
        <w:tc>
          <w:tcPr>
            <w:tcW w:w="9062" w:type="dxa"/>
          </w:tcPr>
          <w:p w14:paraId="74BE856D" w14:textId="6C31175F" w:rsidR="00A92544" w:rsidRPr="00F55BDF" w:rsidRDefault="00B209C4" w:rsidP="00A92544">
            <w:pPr>
              <w:rPr>
                <w:rFonts w:ascii="Myriad Pro" w:hAnsi="Myriad Pro"/>
                <w:b/>
                <w:bCs/>
                <w:color w:val="548DD4" w:themeColor="text2" w:themeTint="99"/>
              </w:rPr>
            </w:pPr>
            <w:proofErr w:type="spellStart"/>
            <w:r w:rsidRPr="00F55BDF">
              <w:rPr>
                <w:rFonts w:ascii="Myriad Pro" w:hAnsi="Myriad Pro"/>
                <w:b/>
                <w:color w:val="548DD4" w:themeColor="text2" w:themeTint="99"/>
              </w:rPr>
              <w:t>Award</w:t>
            </w:r>
            <w:proofErr w:type="spellEnd"/>
            <w:r w:rsidRPr="00F55BDF">
              <w:rPr>
                <w:rFonts w:ascii="Myriad Pro" w:hAnsi="Myriad Pro"/>
                <w:b/>
                <w:color w:val="548DD4" w:themeColor="text2" w:themeTint="99"/>
              </w:rPr>
              <w:t xml:space="preserve"> ID : </w:t>
            </w:r>
            <w:r w:rsidR="00A92544" w:rsidRPr="00F55BDF">
              <w:rPr>
                <w:rFonts w:cstheme="minorHAnsi"/>
                <w:b/>
              </w:rPr>
              <w:t>00099229</w:t>
            </w:r>
            <w:r w:rsidRPr="00F55BDF">
              <w:rPr>
                <w:rFonts w:ascii="Myriad Pro" w:hAnsi="Myriad Pro"/>
                <w:b/>
                <w:color w:val="548DD4" w:themeColor="text2" w:themeTint="99"/>
              </w:rPr>
              <w:br/>
              <w:t>Durée du projet</w:t>
            </w:r>
            <w:r w:rsidR="00E51FC3" w:rsidRPr="00F55BDF">
              <w:rPr>
                <w:rFonts w:ascii="Myriad Pro" w:hAnsi="Myriad Pro"/>
                <w:b/>
                <w:color w:val="548DD4" w:themeColor="text2" w:themeTint="99"/>
              </w:rPr>
              <w:t xml:space="preserve"> </w:t>
            </w:r>
            <w:r w:rsidRPr="00F55BDF">
              <w:rPr>
                <w:rFonts w:ascii="Myriad Pro" w:hAnsi="Myriad Pro"/>
                <w:b/>
                <w:color w:val="548DD4" w:themeColor="text2" w:themeTint="99"/>
              </w:rPr>
              <w:t xml:space="preserve">: </w:t>
            </w:r>
            <w:r w:rsidR="00A92544" w:rsidRPr="00F55BDF">
              <w:rPr>
                <w:rFonts w:cstheme="minorHAnsi"/>
                <w:b/>
              </w:rPr>
              <w:t>05 ans</w:t>
            </w:r>
            <w:r w:rsidR="00A92544" w:rsidRPr="00F55BDF">
              <w:rPr>
                <w:rFonts w:ascii="Myriad Pro" w:hAnsi="Myriad Pro"/>
                <w:b/>
                <w:color w:val="548DD4" w:themeColor="text2" w:themeTint="99"/>
              </w:rPr>
              <w:t xml:space="preserve"> </w:t>
            </w:r>
            <w:r w:rsidRPr="00F55BDF">
              <w:rPr>
                <w:rFonts w:ascii="Myriad Pro" w:hAnsi="Myriad Pro"/>
                <w:b/>
                <w:color w:val="548DD4" w:themeColor="text2" w:themeTint="99"/>
              </w:rPr>
              <w:br/>
              <w:t>Effet UNDAF</w:t>
            </w:r>
            <w:r w:rsidR="008D4CCE" w:rsidRPr="00F55BDF">
              <w:rPr>
                <w:rFonts w:ascii="Myriad Pro" w:hAnsi="Myriad Pro"/>
                <w:b/>
                <w:color w:val="548DD4" w:themeColor="text2" w:themeTint="99"/>
              </w:rPr>
              <w:t>/CPD</w:t>
            </w:r>
            <w:r w:rsidR="00D95D5A" w:rsidRPr="00F55BDF">
              <w:rPr>
                <w:rFonts w:ascii="Myriad Pro" w:hAnsi="Myriad Pro"/>
                <w:b/>
                <w:color w:val="548DD4" w:themeColor="text2" w:themeTint="99"/>
              </w:rPr>
              <w:t xml:space="preserve"> </w:t>
            </w:r>
            <w:r w:rsidRPr="00F55BDF">
              <w:rPr>
                <w:rFonts w:ascii="Myriad Pro" w:hAnsi="Myriad Pro"/>
                <w:b/>
                <w:color w:val="548DD4" w:themeColor="text2" w:themeTint="99"/>
              </w:rPr>
              <w:t>:</w:t>
            </w:r>
            <w:r w:rsidR="00A92544" w:rsidRPr="00F55BDF">
              <w:rPr>
                <w:rFonts w:ascii="Myriad Pro" w:hAnsi="Myriad Pro"/>
                <w:b/>
                <w:color w:val="548DD4" w:themeColor="text2" w:themeTint="99"/>
              </w:rPr>
              <w:t xml:space="preserve"> </w:t>
            </w:r>
            <w:r w:rsidR="00A92544" w:rsidRPr="00F55BDF">
              <w:rPr>
                <w:rFonts w:cstheme="minorHAnsi"/>
                <w:b/>
              </w:rPr>
              <w:t xml:space="preserve">Résultat 1: </w:t>
            </w:r>
            <w:r w:rsidR="00A92544" w:rsidRPr="00F55BDF">
              <w:rPr>
                <w:rFonts w:cstheme="minorHAnsi"/>
              </w:rPr>
              <w:t>Les populations vulnérables, dans les zones d’intervention, accèdent aux opportunités de revenus et d’emplois, améliorent leurs capacités de résilience, et contribuent à une croissance inclusive et équitable pour un développement durable.</w:t>
            </w:r>
            <w:r w:rsidRPr="00F55BDF">
              <w:rPr>
                <w:rFonts w:ascii="Myriad Pro" w:hAnsi="Myriad Pro"/>
                <w:b/>
                <w:color w:val="548DD4" w:themeColor="text2" w:themeTint="99"/>
              </w:rPr>
              <w:br/>
            </w:r>
            <w:r w:rsidR="00D95D5A" w:rsidRPr="00F55BDF">
              <w:rPr>
                <w:rFonts w:ascii="Myriad Pro" w:hAnsi="Myriad Pro"/>
                <w:b/>
                <w:color w:val="548DD4" w:themeColor="text2" w:themeTint="99"/>
              </w:rPr>
              <w:t xml:space="preserve">Produit </w:t>
            </w:r>
            <w:r w:rsidRPr="00F55BDF">
              <w:rPr>
                <w:rFonts w:ascii="Myriad Pro" w:hAnsi="Myriad Pro"/>
                <w:b/>
                <w:color w:val="548DD4" w:themeColor="text2" w:themeTint="99"/>
              </w:rPr>
              <w:t>CP</w:t>
            </w:r>
            <w:r w:rsidR="008D4CCE" w:rsidRPr="00F55BDF">
              <w:rPr>
                <w:rFonts w:ascii="Myriad Pro" w:hAnsi="Myriad Pro"/>
                <w:b/>
                <w:color w:val="548DD4" w:themeColor="text2" w:themeTint="99"/>
              </w:rPr>
              <w:t xml:space="preserve">D </w:t>
            </w:r>
            <w:r w:rsidRPr="00F55BDF">
              <w:rPr>
                <w:rFonts w:ascii="Myriad Pro" w:hAnsi="Myriad Pro"/>
                <w:b/>
                <w:color w:val="548DD4" w:themeColor="text2" w:themeTint="99"/>
              </w:rPr>
              <w:t>:</w:t>
            </w:r>
            <w:r w:rsidR="00A92544" w:rsidRPr="00F55BDF">
              <w:rPr>
                <w:rFonts w:ascii="Myriad Pro" w:hAnsi="Myriad Pro"/>
                <w:b/>
                <w:color w:val="548DD4" w:themeColor="text2" w:themeTint="99"/>
              </w:rPr>
              <w:t xml:space="preserve"> </w:t>
            </w:r>
            <w:r w:rsidR="00A92544" w:rsidRPr="00F55BDF">
              <w:rPr>
                <w:rFonts w:cstheme="minorHAnsi"/>
                <w:b/>
              </w:rPr>
              <w:t xml:space="preserve">Résultat 4: </w:t>
            </w:r>
            <w:r w:rsidR="00A92544" w:rsidRPr="00F55BDF">
              <w:rPr>
                <w:rFonts w:cstheme="minorHAnsi"/>
              </w:rPr>
              <w:t>La transformation structurelle, le renforcement des capacités productives durables et la bonne gouvernance environnementale sont effectives et favorisent la création des emplois et des moyens de subsistance au profit des populations pauvres ou vulnérables, surtout les femmes et les jeunes.</w:t>
            </w:r>
            <w:r w:rsidRPr="00F55BDF">
              <w:rPr>
                <w:rFonts w:ascii="Myriad Pro" w:hAnsi="Myriad Pro"/>
                <w:b/>
                <w:color w:val="548DD4" w:themeColor="text2" w:themeTint="99"/>
              </w:rPr>
              <w:br/>
              <w:t xml:space="preserve">Total Budget: </w:t>
            </w:r>
            <w:r w:rsidR="00A92544" w:rsidRPr="00F55BDF">
              <w:rPr>
                <w:rFonts w:cstheme="minorHAnsi"/>
                <w:b/>
              </w:rPr>
              <w:t>USD 5 329 452</w:t>
            </w:r>
          </w:p>
          <w:p w14:paraId="3F8F158F" w14:textId="2500BC41" w:rsidR="00B209C4" w:rsidRPr="00F55BDF" w:rsidRDefault="00B209C4" w:rsidP="00A92544">
            <w:pPr>
              <w:rPr>
                <w:rFonts w:ascii="Myriad Pro" w:hAnsi="Myriad Pro"/>
                <w:b/>
                <w:color w:val="548DD4" w:themeColor="text2" w:themeTint="99"/>
              </w:rPr>
            </w:pPr>
            <w:r w:rsidRPr="00F55BDF">
              <w:rPr>
                <w:rFonts w:ascii="Myriad Pro" w:hAnsi="Myriad Pro"/>
                <w:b/>
                <w:color w:val="548DD4" w:themeColor="text2" w:themeTint="99"/>
              </w:rPr>
              <w:t>Agence de mise en œuvre</w:t>
            </w:r>
            <w:r w:rsidR="00A92544" w:rsidRPr="00F55BDF">
              <w:rPr>
                <w:rFonts w:ascii="Myriad Pro" w:hAnsi="Myriad Pro"/>
                <w:b/>
                <w:color w:val="548DD4" w:themeColor="text2" w:themeTint="99"/>
              </w:rPr>
              <w:t xml:space="preserve"> </w:t>
            </w:r>
            <w:r w:rsidRPr="00F55BDF">
              <w:rPr>
                <w:rFonts w:ascii="Myriad Pro" w:hAnsi="Myriad Pro"/>
                <w:b/>
                <w:color w:val="548DD4" w:themeColor="text2" w:themeTint="99"/>
              </w:rPr>
              <w:t xml:space="preserve">:  </w:t>
            </w:r>
            <w:r w:rsidR="00A92544" w:rsidRPr="00F55BDF">
              <w:rPr>
                <w:rFonts w:cstheme="minorHAnsi"/>
                <w:bCs/>
              </w:rPr>
              <w:t>Ministère de l’Environnement et du Développement Durable (MEDD)</w:t>
            </w:r>
          </w:p>
        </w:tc>
      </w:tr>
    </w:tbl>
    <w:p w14:paraId="48535620" w14:textId="77777777" w:rsidR="00B209C4" w:rsidRPr="00F55BDF" w:rsidRDefault="00B209C4" w:rsidP="0008755B">
      <w:pPr>
        <w:jc w:val="center"/>
        <w:rPr>
          <w:rFonts w:ascii="Myriad Pro" w:hAnsi="Myriad Pro"/>
          <w:b/>
          <w:bCs/>
          <w:color w:val="00B0F0"/>
          <w:sz w:val="40"/>
          <w:szCs w:val="40"/>
        </w:rPr>
      </w:pPr>
    </w:p>
    <w:tbl>
      <w:tblPr>
        <w:tblStyle w:val="TableGrid"/>
        <w:tblW w:w="0" w:type="auto"/>
        <w:tblLook w:val="04A0" w:firstRow="1" w:lastRow="0" w:firstColumn="1" w:lastColumn="0" w:noHBand="0" w:noVBand="1"/>
      </w:tblPr>
      <w:tblGrid>
        <w:gridCol w:w="9062"/>
      </w:tblGrid>
      <w:tr w:rsidR="00B209C4" w:rsidRPr="00F55BDF" w14:paraId="72C78240" w14:textId="77777777" w:rsidTr="00B209C4">
        <w:tc>
          <w:tcPr>
            <w:tcW w:w="9062" w:type="dxa"/>
          </w:tcPr>
          <w:p w14:paraId="3FB1438F" w14:textId="77777777" w:rsidR="00B209C4" w:rsidRPr="00F55BDF" w:rsidRDefault="00B209C4" w:rsidP="00B209C4">
            <w:r w:rsidRPr="00F55BDF">
              <w:t>Liste de distribution aux parties prenantes</w:t>
            </w:r>
          </w:p>
          <w:p w14:paraId="0E7998A6" w14:textId="47F3AFD3" w:rsidR="00B209C4" w:rsidRPr="00F55BDF" w:rsidRDefault="00A92544" w:rsidP="00A92544">
            <w:pPr>
              <w:pStyle w:val="ListParagraph"/>
              <w:numPr>
                <w:ilvl w:val="0"/>
                <w:numId w:val="12"/>
              </w:numPr>
              <w:spacing w:after="0"/>
              <w:rPr>
                <w:lang w:val="fr-FR"/>
              </w:rPr>
            </w:pPr>
            <w:r w:rsidRPr="00F55BDF">
              <w:rPr>
                <w:lang w:val="fr-FR"/>
              </w:rPr>
              <w:t>Ministère de l’Environnement et du Développement Durable (MEDD)</w:t>
            </w:r>
          </w:p>
          <w:p w14:paraId="69E1C7A8" w14:textId="3533F361" w:rsidR="00B209C4" w:rsidRPr="00F55BDF" w:rsidRDefault="00A92544" w:rsidP="00A92544">
            <w:pPr>
              <w:pStyle w:val="ListParagraph"/>
              <w:numPr>
                <w:ilvl w:val="0"/>
                <w:numId w:val="12"/>
              </w:numPr>
              <w:spacing w:after="0"/>
              <w:rPr>
                <w:lang w:val="fr-FR"/>
              </w:rPr>
            </w:pPr>
            <w:r w:rsidRPr="00F55BDF">
              <w:rPr>
                <w:lang w:val="fr-FR"/>
              </w:rPr>
              <w:t>Unité de Coordination du Projet (UCP)</w:t>
            </w:r>
          </w:p>
          <w:p w14:paraId="15B57072" w14:textId="6368A4C1" w:rsidR="00B209C4" w:rsidRPr="00F55BDF" w:rsidRDefault="00A92544" w:rsidP="00A92544">
            <w:pPr>
              <w:pStyle w:val="ListParagraph"/>
              <w:numPr>
                <w:ilvl w:val="0"/>
                <w:numId w:val="12"/>
              </w:numPr>
              <w:spacing w:after="0"/>
              <w:rPr>
                <w:lang w:val="fr-FR"/>
              </w:rPr>
            </w:pPr>
            <w:r w:rsidRPr="00F55BDF">
              <w:rPr>
                <w:lang w:val="fr-FR"/>
              </w:rPr>
              <w:t xml:space="preserve">ONG partenaires de mise en œuvre SAGE et Fondation </w:t>
            </w:r>
            <w:proofErr w:type="spellStart"/>
            <w:r w:rsidRPr="00F55BDF">
              <w:rPr>
                <w:lang w:val="fr-FR"/>
              </w:rPr>
              <w:t>Tany</w:t>
            </w:r>
            <w:proofErr w:type="spellEnd"/>
            <w:r w:rsidRPr="00F55BDF">
              <w:rPr>
                <w:lang w:val="fr-FR"/>
              </w:rPr>
              <w:t xml:space="preserve"> </w:t>
            </w:r>
            <w:proofErr w:type="spellStart"/>
            <w:r w:rsidRPr="00F55BDF">
              <w:rPr>
                <w:lang w:val="fr-FR"/>
              </w:rPr>
              <w:t>Meva</w:t>
            </w:r>
            <w:proofErr w:type="spellEnd"/>
          </w:p>
          <w:p w14:paraId="7106FD40" w14:textId="20AD3EDA" w:rsidR="00B209C4" w:rsidRPr="00F55BDF" w:rsidRDefault="00A92544" w:rsidP="00A92544">
            <w:pPr>
              <w:pStyle w:val="ListParagraph"/>
              <w:numPr>
                <w:ilvl w:val="0"/>
                <w:numId w:val="12"/>
              </w:numPr>
              <w:spacing w:after="0"/>
              <w:rPr>
                <w:lang w:val="fr-FR"/>
              </w:rPr>
            </w:pPr>
            <w:r w:rsidRPr="00F55BDF">
              <w:rPr>
                <w:lang w:val="fr-FR"/>
              </w:rPr>
              <w:t xml:space="preserve">Principal Bailleurs de Fonds : Fonds Mondial pour l’Environnement (FEM). </w:t>
            </w:r>
          </w:p>
          <w:p w14:paraId="1E2E56E0" w14:textId="77777777" w:rsidR="00B209C4" w:rsidRPr="00F55BDF" w:rsidRDefault="00B209C4" w:rsidP="00B209C4">
            <w:pPr>
              <w:rPr>
                <w:rFonts w:ascii="Myriad Pro" w:hAnsi="Myriad Pro"/>
                <w:b/>
                <w:bCs/>
                <w:color w:val="00B0F0"/>
                <w:sz w:val="40"/>
                <w:szCs w:val="40"/>
              </w:rPr>
            </w:pPr>
          </w:p>
        </w:tc>
      </w:tr>
    </w:tbl>
    <w:p w14:paraId="401BF6DF" w14:textId="77777777" w:rsidR="00B209C4" w:rsidRPr="00F55BDF" w:rsidRDefault="00B209C4" w:rsidP="0008755B">
      <w:pPr>
        <w:jc w:val="center"/>
        <w:rPr>
          <w:rFonts w:ascii="Myriad Pro" w:hAnsi="Myriad Pro"/>
          <w:b/>
          <w:bCs/>
          <w:color w:val="00B0F0"/>
          <w:sz w:val="40"/>
          <w:szCs w:val="40"/>
        </w:rPr>
      </w:pPr>
    </w:p>
    <w:p w14:paraId="73C07BF8" w14:textId="77777777" w:rsidR="00F0284E" w:rsidRPr="00F55BDF" w:rsidRDefault="00F0284E" w:rsidP="00F0284E">
      <w:pPr>
        <w:jc w:val="center"/>
        <w:rPr>
          <w:b/>
          <w:i/>
          <w:sz w:val="28"/>
        </w:rPr>
      </w:pPr>
      <w:r w:rsidRPr="00F55BDF">
        <w:rPr>
          <w:b/>
          <w:i/>
          <w:sz w:val="28"/>
        </w:rPr>
        <w:t xml:space="preserve">Synthèse du rapport </w:t>
      </w:r>
      <w:r w:rsidR="00C558AE" w:rsidRPr="00F55BDF">
        <w:rPr>
          <w:b/>
          <w:i/>
          <w:sz w:val="28"/>
        </w:rPr>
        <w:t>annuel</w:t>
      </w:r>
    </w:p>
    <w:p w14:paraId="39883D33" w14:textId="77777777" w:rsidR="00F0284E" w:rsidRPr="00F55BDF" w:rsidRDefault="00F0284E" w:rsidP="00F0284E">
      <w:pPr>
        <w:jc w:val="center"/>
        <w:rPr>
          <w:b/>
          <w:sz w:val="2"/>
        </w:rPr>
      </w:pPr>
    </w:p>
    <w:p w14:paraId="2D994465" w14:textId="2808ED33" w:rsidR="00F0284E" w:rsidRPr="00F55BDF" w:rsidRDefault="00F0284E" w:rsidP="00F0284E">
      <w:pPr>
        <w:pStyle w:val="ListParagraph"/>
        <w:numPr>
          <w:ilvl w:val="0"/>
          <w:numId w:val="1"/>
        </w:numPr>
        <w:rPr>
          <w:b/>
          <w:i/>
          <w:sz w:val="24"/>
          <w:lang w:val="fr-FR"/>
        </w:rPr>
      </w:pPr>
      <w:r w:rsidRPr="00F55BDF">
        <w:rPr>
          <w:b/>
          <w:i/>
          <w:sz w:val="24"/>
          <w:lang w:val="fr-FR"/>
        </w:rPr>
        <w:lastRenderedPageBreak/>
        <w:t xml:space="preserve">Mise en œuvre des </w:t>
      </w:r>
      <w:r w:rsidR="00204E92" w:rsidRPr="00F55BDF">
        <w:rPr>
          <w:b/>
          <w:i/>
          <w:sz w:val="24"/>
          <w:lang w:val="fr-FR"/>
        </w:rPr>
        <w:t>produits</w:t>
      </w:r>
      <w:r w:rsidR="00FE6927" w:rsidRPr="00F55BDF">
        <w:rPr>
          <w:b/>
          <w:i/>
          <w:sz w:val="24"/>
          <w:lang w:val="fr-FR"/>
        </w:rPr>
        <w:t xml:space="preserve"> du CPD (résultat</w:t>
      </w:r>
      <w:r w:rsidR="00E51FC3" w:rsidRPr="00F55BDF">
        <w:rPr>
          <w:b/>
          <w:i/>
          <w:sz w:val="24"/>
          <w:lang w:val="fr-FR"/>
        </w:rPr>
        <w:t>s</w:t>
      </w:r>
      <w:r w:rsidR="00FE6927" w:rsidRPr="00F55BDF">
        <w:rPr>
          <w:b/>
          <w:i/>
          <w:sz w:val="24"/>
          <w:lang w:val="fr-FR"/>
        </w:rPr>
        <w:t xml:space="preserve"> CPD)</w:t>
      </w:r>
    </w:p>
    <w:p w14:paraId="1947DC7B" w14:textId="7E535D77" w:rsidR="00B15BBA" w:rsidRPr="00F55BDF" w:rsidRDefault="007F3F56" w:rsidP="00B15BBA">
      <w:pPr>
        <w:ind w:left="720"/>
        <w:jc w:val="both"/>
        <w:rPr>
          <w:rFonts w:cstheme="minorHAnsi"/>
          <w:b/>
          <w:sz w:val="24"/>
          <w:u w:val="single"/>
        </w:rPr>
      </w:pPr>
      <w:r w:rsidRPr="00F55BDF">
        <w:rPr>
          <w:b/>
        </w:rPr>
        <w:t>Produit du CPD</w:t>
      </w:r>
      <w:r w:rsidR="00723618" w:rsidRPr="00F55BDF">
        <w:rPr>
          <w:b/>
        </w:rPr>
        <w:t xml:space="preserve"> 1</w:t>
      </w:r>
      <w:r w:rsidR="00B15BBA" w:rsidRPr="00F55BDF">
        <w:rPr>
          <w:b/>
        </w:rPr>
        <w:t xml:space="preserve"> </w:t>
      </w:r>
      <w:r w:rsidR="00F0284E" w:rsidRPr="00F55BDF">
        <w:rPr>
          <w:b/>
        </w:rPr>
        <w:t>:</w:t>
      </w:r>
      <w:r w:rsidR="00B15BBA" w:rsidRPr="00F55BDF">
        <w:rPr>
          <w:b/>
        </w:rPr>
        <w:t xml:space="preserve"> </w:t>
      </w:r>
      <w:r w:rsidR="00B15BBA" w:rsidRPr="00F55BDF">
        <w:rPr>
          <w:rFonts w:cstheme="minorHAnsi"/>
          <w:b/>
          <w:u w:val="single"/>
        </w:rPr>
        <w:t>Résultat 4 </w:t>
      </w:r>
      <w:r w:rsidR="00B15BBA" w:rsidRPr="00F55BDF">
        <w:rPr>
          <w:rFonts w:cstheme="minorHAnsi"/>
          <w:b/>
        </w:rPr>
        <w:t xml:space="preserve">: </w:t>
      </w:r>
      <w:r w:rsidR="00B15BBA" w:rsidRPr="00F55BDF">
        <w:rPr>
          <w:rFonts w:cstheme="minorHAnsi"/>
        </w:rPr>
        <w:t>La transformation structurelle, le renforcement des capacités productives durables et la bonne gouvernance environnementale sont effectives et favorisent la création des emplois et des moyens de subsistance au profit des populations pauvres ou vulnérables, surtout les femmes et les jeunes.</w:t>
      </w:r>
    </w:p>
    <w:p w14:paraId="55659D8D" w14:textId="7B148B69" w:rsidR="00204E92" w:rsidRPr="00F55BDF" w:rsidRDefault="00204E92" w:rsidP="00F86F65">
      <w:pPr>
        <w:rPr>
          <w:b/>
        </w:rPr>
      </w:pPr>
      <w:r w:rsidRPr="00F55BDF">
        <w:rPr>
          <w:b/>
        </w:rPr>
        <w:t>Pour chaque indicateur de produit</w:t>
      </w:r>
      <w:r w:rsidR="008D4CCE" w:rsidRPr="00F55BDF">
        <w:rPr>
          <w:b/>
        </w:rPr>
        <w:t xml:space="preserve"> </w:t>
      </w:r>
      <w:r w:rsidRPr="00F55BDF">
        <w:rPr>
          <w:b/>
        </w:rPr>
        <w:t>:</w:t>
      </w:r>
    </w:p>
    <w:p w14:paraId="2059F531" w14:textId="7FC84B70" w:rsidR="00A331FA" w:rsidRPr="00F55BDF" w:rsidRDefault="00A331FA" w:rsidP="00A331FA">
      <w:pPr>
        <w:pStyle w:val="ListParagraph"/>
        <w:numPr>
          <w:ilvl w:val="0"/>
          <w:numId w:val="2"/>
        </w:numPr>
        <w:spacing w:before="0" w:after="0" w:line="240" w:lineRule="auto"/>
        <w:jc w:val="both"/>
        <w:rPr>
          <w:rFonts w:cstheme="minorHAnsi"/>
          <w:u w:val="single"/>
          <w:lang w:val="fr-FR"/>
        </w:rPr>
      </w:pPr>
      <w:r w:rsidRPr="00F55BDF">
        <w:rPr>
          <w:lang w:val="fr-FR"/>
        </w:rPr>
        <w:t xml:space="preserve">Intitulé indicateur : </w:t>
      </w:r>
      <w:r w:rsidRPr="00F55BDF">
        <w:rPr>
          <w:rFonts w:cstheme="minorHAnsi"/>
          <w:u w:val="single"/>
          <w:lang w:val="fr-FR"/>
        </w:rPr>
        <w:t>Indicateur 4.1 : nombre de personnes vulnérables désagrégé par sexe et tranche d’âge ayant eu accès aux activités génératrices de revenus et à l’emploi dans les zones d’intervention du programme.</w:t>
      </w:r>
    </w:p>
    <w:p w14:paraId="362025FA" w14:textId="77777777" w:rsidR="00A331FA" w:rsidRPr="00F55BDF" w:rsidRDefault="00A331FA" w:rsidP="00A331FA">
      <w:pPr>
        <w:pStyle w:val="ListParagraph"/>
        <w:spacing w:after="0" w:line="240" w:lineRule="auto"/>
        <w:jc w:val="both"/>
        <w:rPr>
          <w:rFonts w:cstheme="minorHAnsi"/>
          <w:i/>
          <w:lang w:val="fr-FR"/>
        </w:rPr>
      </w:pPr>
    </w:p>
    <w:p w14:paraId="0A5DC51C" w14:textId="0F9BEDAA" w:rsidR="00A331FA" w:rsidRPr="00F55BDF" w:rsidRDefault="00A331FA" w:rsidP="00A331F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t xml:space="preserve">Total </w:t>
      </w:r>
    </w:p>
    <w:p w14:paraId="4A5F7C1E" w14:textId="3B1A4545" w:rsidR="00A331FA" w:rsidRPr="00F55BDF" w:rsidRDefault="00A331FA" w:rsidP="00A331F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r>
      <w:r w:rsidR="00BC1452">
        <w:rPr>
          <w:rFonts w:cstheme="minorHAnsi"/>
          <w:i/>
          <w:lang w:val="fr-FR"/>
        </w:rPr>
        <w:t>F</w:t>
      </w:r>
      <w:r w:rsidRPr="00F55BDF">
        <w:rPr>
          <w:rFonts w:cstheme="minorHAnsi"/>
          <w:i/>
          <w:lang w:val="fr-FR"/>
        </w:rPr>
        <w:t>emmes jeunes</w:t>
      </w:r>
      <w:r w:rsidR="00BC1452">
        <w:rPr>
          <w:rFonts w:cstheme="minorHAnsi"/>
          <w:i/>
          <w:lang w:val="fr-FR"/>
        </w:rPr>
        <w:t xml:space="preserve"> formées </w:t>
      </w:r>
    </w:p>
    <w:p w14:paraId="4C296689" w14:textId="6C3669B7" w:rsidR="00A331FA" w:rsidRPr="00F55BDF" w:rsidRDefault="00A331FA" w:rsidP="00A331F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r>
      <w:r w:rsidR="00BC1452">
        <w:rPr>
          <w:rFonts w:cstheme="minorHAnsi"/>
          <w:i/>
          <w:lang w:val="fr-FR"/>
        </w:rPr>
        <w:t>F</w:t>
      </w:r>
      <w:r w:rsidRPr="00F55BDF">
        <w:rPr>
          <w:rFonts w:cstheme="minorHAnsi"/>
          <w:i/>
          <w:lang w:val="fr-FR"/>
        </w:rPr>
        <w:t>emmes non jeunes</w:t>
      </w:r>
      <w:r w:rsidR="00BC1452">
        <w:rPr>
          <w:rFonts w:cstheme="minorHAnsi"/>
          <w:i/>
          <w:lang w:val="fr-FR"/>
        </w:rPr>
        <w:t xml:space="preserve"> formées</w:t>
      </w:r>
    </w:p>
    <w:p w14:paraId="6B4F753A" w14:textId="533B9F3D" w:rsidR="00A331FA" w:rsidRPr="00F55BDF" w:rsidRDefault="00A331FA" w:rsidP="00A331F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r>
      <w:r w:rsidR="00BC1452">
        <w:rPr>
          <w:rFonts w:cstheme="minorHAnsi"/>
          <w:i/>
          <w:lang w:val="fr-FR"/>
        </w:rPr>
        <w:t>H</w:t>
      </w:r>
      <w:r w:rsidRPr="00F55BDF">
        <w:rPr>
          <w:rFonts w:cstheme="minorHAnsi"/>
          <w:i/>
          <w:lang w:val="fr-FR"/>
        </w:rPr>
        <w:t>ommes jeunes</w:t>
      </w:r>
      <w:r w:rsidR="00BC1452">
        <w:rPr>
          <w:rFonts w:cstheme="minorHAnsi"/>
          <w:i/>
          <w:lang w:val="fr-FR"/>
        </w:rPr>
        <w:t xml:space="preserve"> formées </w:t>
      </w:r>
    </w:p>
    <w:p w14:paraId="62511BA4" w14:textId="0D37F0BC" w:rsidR="00A331FA" w:rsidRPr="00F55BDF" w:rsidRDefault="00A331FA" w:rsidP="00A331F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r>
      <w:r w:rsidR="00BC1452">
        <w:rPr>
          <w:rFonts w:cstheme="minorHAnsi"/>
          <w:i/>
          <w:lang w:val="fr-FR"/>
        </w:rPr>
        <w:t>H</w:t>
      </w:r>
      <w:r w:rsidRPr="00F55BDF">
        <w:rPr>
          <w:rFonts w:cstheme="minorHAnsi"/>
          <w:i/>
          <w:lang w:val="fr-FR"/>
        </w:rPr>
        <w:t>ommes non jeunes</w:t>
      </w:r>
      <w:r w:rsidR="00BC1452">
        <w:rPr>
          <w:rFonts w:cstheme="minorHAnsi"/>
          <w:i/>
          <w:lang w:val="fr-FR"/>
        </w:rPr>
        <w:t xml:space="preserve"> formés </w:t>
      </w:r>
    </w:p>
    <w:p w14:paraId="5C9E603B" w14:textId="77777777" w:rsidR="00A331FA" w:rsidRPr="00F55BDF" w:rsidRDefault="00A331FA" w:rsidP="00A331FA">
      <w:pPr>
        <w:pStyle w:val="ListParagraph"/>
        <w:spacing w:after="0" w:line="240" w:lineRule="auto"/>
        <w:jc w:val="both"/>
        <w:rPr>
          <w:rFonts w:cstheme="minorHAnsi"/>
          <w:i/>
          <w:lang w:val="fr-FR"/>
        </w:rPr>
      </w:pPr>
    </w:p>
    <w:p w14:paraId="42DEA8BA" w14:textId="77777777" w:rsidR="00A331FA" w:rsidRPr="00F55BDF" w:rsidRDefault="00A331FA" w:rsidP="00A331FA">
      <w:pPr>
        <w:pStyle w:val="ListParagraph"/>
        <w:spacing w:after="0" w:line="240" w:lineRule="auto"/>
        <w:jc w:val="both"/>
        <w:rPr>
          <w:rFonts w:cstheme="minorHAnsi"/>
          <w:i/>
          <w:lang w:val="fr-FR"/>
        </w:rPr>
      </w:pPr>
      <w:r w:rsidRPr="00F55BDF">
        <w:rPr>
          <w:rFonts w:cstheme="minorHAnsi"/>
          <w:i/>
          <w:lang w:val="fr-FR"/>
        </w:rPr>
        <w:t>Donnée de référence : 0</w:t>
      </w:r>
    </w:p>
    <w:p w14:paraId="72FBB39F" w14:textId="7056CD35" w:rsidR="00A331FA" w:rsidRPr="00F55BDF" w:rsidRDefault="00A331FA" w:rsidP="00A331FA">
      <w:pPr>
        <w:pStyle w:val="ListParagraph"/>
        <w:spacing w:after="0" w:line="240" w:lineRule="auto"/>
        <w:jc w:val="both"/>
        <w:rPr>
          <w:rFonts w:cstheme="minorHAnsi"/>
          <w:i/>
          <w:lang w:val="fr-FR"/>
        </w:rPr>
      </w:pPr>
      <w:r w:rsidRPr="00F55BDF">
        <w:rPr>
          <w:rFonts w:cstheme="minorHAnsi"/>
          <w:i/>
          <w:lang w:val="fr-FR"/>
        </w:rPr>
        <w:t xml:space="preserve">Cible (au niveau du PNUD) : </w:t>
      </w:r>
      <w:r w:rsidR="001472A9" w:rsidRPr="00F55BDF">
        <w:rPr>
          <w:rFonts w:cstheme="minorHAnsi"/>
          <w:i/>
          <w:lang w:val="fr-FR"/>
        </w:rPr>
        <w:t>8</w:t>
      </w:r>
      <w:r w:rsidRPr="00F55BDF">
        <w:rPr>
          <w:rFonts w:cstheme="minorHAnsi"/>
          <w:i/>
          <w:lang w:val="fr-FR"/>
        </w:rPr>
        <w:t>5 000 (5 000/an)</w:t>
      </w:r>
    </w:p>
    <w:p w14:paraId="3D26C29D" w14:textId="4808D2CF" w:rsidR="00A331FA" w:rsidRPr="00F55BDF" w:rsidRDefault="00A331FA" w:rsidP="00A331FA">
      <w:pPr>
        <w:pStyle w:val="ListParagraph"/>
        <w:spacing w:after="0" w:line="240" w:lineRule="auto"/>
        <w:jc w:val="both"/>
        <w:rPr>
          <w:rFonts w:cstheme="minorHAnsi"/>
          <w:i/>
          <w:lang w:val="fr-FR"/>
        </w:rPr>
      </w:pPr>
      <w:r w:rsidRPr="00F55BDF">
        <w:rPr>
          <w:rFonts w:cstheme="minorHAnsi"/>
          <w:i/>
          <w:lang w:val="fr-FR"/>
        </w:rPr>
        <w:t xml:space="preserve">Source des données : Rapports trimestriels </w:t>
      </w:r>
      <w:r w:rsidR="001472A9" w:rsidRPr="00F55BDF">
        <w:rPr>
          <w:rFonts w:cstheme="minorHAnsi"/>
          <w:i/>
          <w:lang w:val="fr-FR"/>
        </w:rPr>
        <w:t>d</w:t>
      </w:r>
      <w:r w:rsidRPr="00F55BDF">
        <w:rPr>
          <w:rFonts w:cstheme="minorHAnsi"/>
          <w:i/>
          <w:lang w:val="fr-FR"/>
        </w:rPr>
        <w:t xml:space="preserve">u projet APAA suivant contribution dans UNDAF 2019. </w:t>
      </w:r>
    </w:p>
    <w:p w14:paraId="1304D196" w14:textId="77777777" w:rsidR="00A331FA" w:rsidRPr="00F55BDF" w:rsidRDefault="00A331FA" w:rsidP="00A331FA">
      <w:pPr>
        <w:pStyle w:val="ListParagraph"/>
        <w:spacing w:after="0" w:line="240" w:lineRule="auto"/>
        <w:jc w:val="both"/>
        <w:rPr>
          <w:lang w:val="fr-FR"/>
        </w:rPr>
      </w:pPr>
    </w:p>
    <w:p w14:paraId="3AE92515" w14:textId="77777777" w:rsidR="00A331FA" w:rsidRPr="00F55BDF" w:rsidRDefault="00A331FA" w:rsidP="00A331FA">
      <w:pPr>
        <w:pStyle w:val="ListParagraph"/>
        <w:spacing w:after="0" w:line="240" w:lineRule="auto"/>
        <w:jc w:val="both"/>
        <w:rPr>
          <w:u w:val="single"/>
          <w:lang w:val="fr-FR"/>
        </w:rPr>
      </w:pPr>
      <w:r w:rsidRPr="00F55BDF">
        <w:rPr>
          <w:u w:val="single"/>
          <w:lang w:val="fr-FR"/>
        </w:rPr>
        <w:t xml:space="preserve">Pour la durée du projet : </w:t>
      </w:r>
      <w:r w:rsidRPr="00F55BDF">
        <w:rPr>
          <w:lang w:val="fr-FR"/>
        </w:rPr>
        <w:t>2017 - 2022</w:t>
      </w:r>
    </w:p>
    <w:p w14:paraId="1D407C4F" w14:textId="77777777" w:rsidR="00A331FA" w:rsidRPr="00F55BDF" w:rsidRDefault="00A331FA" w:rsidP="00A331FA">
      <w:pPr>
        <w:pStyle w:val="ListParagraph"/>
        <w:spacing w:after="0" w:line="240" w:lineRule="auto"/>
        <w:jc w:val="both"/>
        <w:rPr>
          <w:lang w:val="fr-FR"/>
        </w:rPr>
      </w:pPr>
    </w:p>
    <w:p w14:paraId="4DEDA8D5" w14:textId="77777777" w:rsidR="00A331FA" w:rsidRPr="00F55BDF" w:rsidRDefault="00A331FA" w:rsidP="00A331FA">
      <w:pPr>
        <w:pStyle w:val="ListParagraph"/>
        <w:numPr>
          <w:ilvl w:val="0"/>
          <w:numId w:val="2"/>
        </w:numPr>
        <w:spacing w:before="0" w:after="0" w:line="240" w:lineRule="auto"/>
        <w:jc w:val="both"/>
        <w:rPr>
          <w:rFonts w:cstheme="minorHAnsi"/>
          <w:lang w:val="fr-FR"/>
        </w:rPr>
      </w:pPr>
      <w:r w:rsidRPr="00F55BDF">
        <w:rPr>
          <w:rFonts w:cstheme="minorHAnsi"/>
          <w:i/>
          <w:lang w:val="fr-FR"/>
        </w:rPr>
        <w:t>Baseline début du projet (spécifier année) :</w:t>
      </w:r>
      <w:r w:rsidRPr="00F55BDF">
        <w:rPr>
          <w:rFonts w:cstheme="minorHAnsi"/>
          <w:lang w:val="fr-FR"/>
        </w:rPr>
        <w:t xml:space="preserve"> 0 (2017)</w:t>
      </w:r>
    </w:p>
    <w:p w14:paraId="3172CDD2" w14:textId="79F1CC9F" w:rsidR="00A331FA" w:rsidRPr="00F55BDF" w:rsidRDefault="00A331FA" w:rsidP="00A331FA">
      <w:pPr>
        <w:pStyle w:val="ListParagraph"/>
        <w:numPr>
          <w:ilvl w:val="0"/>
          <w:numId w:val="2"/>
        </w:numPr>
        <w:spacing w:before="0" w:after="0" w:line="240" w:lineRule="auto"/>
        <w:jc w:val="both"/>
        <w:rPr>
          <w:rFonts w:cstheme="minorHAnsi"/>
          <w:i/>
          <w:lang w:val="fr-FR"/>
        </w:rPr>
      </w:pPr>
      <w:r w:rsidRPr="00F55BDF">
        <w:rPr>
          <w:rFonts w:cstheme="minorHAnsi"/>
          <w:i/>
          <w:lang w:val="fr-FR"/>
        </w:rPr>
        <w:t>Cible cumulée à la fin du projet (spécifier année) : </w:t>
      </w:r>
      <w:r w:rsidRPr="00F55BDF">
        <w:rPr>
          <w:rFonts w:cstheme="minorHAnsi"/>
          <w:lang w:val="fr-FR"/>
        </w:rPr>
        <w:t>cet indicateur est</w:t>
      </w:r>
      <w:r w:rsidRPr="00F55BDF">
        <w:rPr>
          <w:rFonts w:cstheme="minorHAnsi"/>
          <w:i/>
          <w:lang w:val="fr-FR"/>
        </w:rPr>
        <w:t xml:space="preserve"> </w:t>
      </w:r>
      <w:r w:rsidRPr="00F55BDF">
        <w:rPr>
          <w:rFonts w:cstheme="minorHAnsi"/>
          <w:lang w:val="fr-FR"/>
        </w:rPr>
        <w:t xml:space="preserve">non précisé dans le document de projet. </w:t>
      </w:r>
    </w:p>
    <w:p w14:paraId="1C4EADFC" w14:textId="77777777" w:rsidR="00A331FA" w:rsidRPr="00F55BDF" w:rsidRDefault="00A331FA" w:rsidP="00A331FA">
      <w:pPr>
        <w:pStyle w:val="ListParagraph"/>
        <w:numPr>
          <w:ilvl w:val="0"/>
          <w:numId w:val="2"/>
        </w:numPr>
        <w:spacing w:before="0" w:after="0" w:line="240" w:lineRule="auto"/>
        <w:jc w:val="both"/>
        <w:rPr>
          <w:rFonts w:cstheme="minorHAnsi"/>
          <w:i/>
          <w:lang w:val="fr-FR"/>
        </w:rPr>
      </w:pPr>
      <w:r w:rsidRPr="00F55BDF">
        <w:rPr>
          <w:rFonts w:cstheme="minorHAnsi"/>
          <w:i/>
          <w:lang w:val="fr-FR"/>
        </w:rPr>
        <w:t>Réalisation (valeur cumulée) + % d’avancement vers la cible de fin du projet : N/A</w:t>
      </w:r>
    </w:p>
    <w:p w14:paraId="117554F9" w14:textId="77777777" w:rsidR="00A331FA" w:rsidRPr="00F55BDF" w:rsidRDefault="00A331FA" w:rsidP="00A331FA">
      <w:pPr>
        <w:pStyle w:val="ListParagraph"/>
        <w:spacing w:after="0" w:line="240" w:lineRule="auto"/>
        <w:jc w:val="both"/>
        <w:rPr>
          <w:lang w:val="fr-FR"/>
        </w:rPr>
      </w:pPr>
    </w:p>
    <w:p w14:paraId="5D497F51" w14:textId="77777777" w:rsidR="00A331FA" w:rsidRPr="00F55BDF" w:rsidRDefault="00A331FA" w:rsidP="00A331FA">
      <w:pPr>
        <w:pStyle w:val="ListParagraph"/>
        <w:spacing w:after="0" w:line="240" w:lineRule="auto"/>
        <w:jc w:val="both"/>
        <w:rPr>
          <w:u w:val="single"/>
          <w:lang w:val="fr-FR"/>
        </w:rPr>
      </w:pPr>
      <w:r w:rsidRPr="00F55BDF">
        <w:rPr>
          <w:u w:val="single"/>
          <w:lang w:val="fr-FR"/>
        </w:rPr>
        <w:t>Pour l’année considérée :</w:t>
      </w:r>
      <w:r w:rsidRPr="00F55BDF">
        <w:rPr>
          <w:lang w:val="fr-FR"/>
        </w:rPr>
        <w:t xml:space="preserve"> 2019</w:t>
      </w:r>
    </w:p>
    <w:p w14:paraId="67A61C5E" w14:textId="77777777" w:rsidR="00A331FA" w:rsidRPr="00F55BDF" w:rsidRDefault="00A331FA" w:rsidP="00A331FA">
      <w:pPr>
        <w:pStyle w:val="ListParagraph"/>
        <w:spacing w:after="0" w:line="240" w:lineRule="auto"/>
        <w:jc w:val="both"/>
        <w:rPr>
          <w:u w:val="single"/>
          <w:lang w:val="fr-FR"/>
        </w:rPr>
      </w:pPr>
    </w:p>
    <w:p w14:paraId="6A9B2919" w14:textId="77777777" w:rsidR="00A331FA" w:rsidRPr="00F55BDF" w:rsidRDefault="00A331FA" w:rsidP="00A331FA">
      <w:pPr>
        <w:pStyle w:val="ListParagraph"/>
        <w:numPr>
          <w:ilvl w:val="0"/>
          <w:numId w:val="2"/>
        </w:numPr>
        <w:spacing w:before="0" w:after="0" w:line="240" w:lineRule="auto"/>
        <w:jc w:val="both"/>
        <w:rPr>
          <w:rFonts w:cstheme="minorHAnsi"/>
          <w:i/>
          <w:lang w:val="fr-FR"/>
        </w:rPr>
      </w:pPr>
      <w:r w:rsidRPr="00F55BDF">
        <w:rPr>
          <w:rFonts w:cstheme="minorHAnsi"/>
          <w:i/>
          <w:lang w:val="fr-FR"/>
        </w:rPr>
        <w:t>Baseline (valeur début d’année en cours = valeur cumulée fin année N-1) : 0</w:t>
      </w:r>
    </w:p>
    <w:p w14:paraId="5D8493F3" w14:textId="7C50D16C" w:rsidR="00A331FA" w:rsidRPr="00F55BDF" w:rsidRDefault="0096355A" w:rsidP="00A331FA">
      <w:pPr>
        <w:pStyle w:val="ListParagraph"/>
        <w:numPr>
          <w:ilvl w:val="0"/>
          <w:numId w:val="2"/>
        </w:numPr>
        <w:spacing w:before="0" w:after="0" w:line="240" w:lineRule="auto"/>
        <w:jc w:val="both"/>
        <w:rPr>
          <w:rFonts w:cstheme="minorHAnsi"/>
          <w:lang w:val="fr-FR"/>
        </w:rPr>
      </w:pPr>
      <w:proofErr w:type="gramStart"/>
      <w:r w:rsidRPr="00F55BDF">
        <w:rPr>
          <w:rFonts w:cstheme="minorHAnsi"/>
          <w:i/>
          <w:lang w:val="fr-FR"/>
        </w:rPr>
        <w:t>Cible fin</w:t>
      </w:r>
      <w:proofErr w:type="gramEnd"/>
      <w:r w:rsidR="00A331FA" w:rsidRPr="00F55BDF">
        <w:rPr>
          <w:rFonts w:cstheme="minorHAnsi"/>
          <w:i/>
          <w:lang w:val="fr-FR"/>
        </w:rPr>
        <w:t xml:space="preserve"> d’année</w:t>
      </w:r>
      <w:r w:rsidR="00A331FA" w:rsidRPr="00F55BDF">
        <w:rPr>
          <w:rFonts w:cstheme="minorHAnsi"/>
          <w:lang w:val="fr-FR"/>
        </w:rPr>
        <w:t xml:space="preserve"> : </w:t>
      </w:r>
      <w:r>
        <w:rPr>
          <w:rFonts w:cstheme="minorHAnsi"/>
          <w:lang w:val="fr-FR"/>
        </w:rPr>
        <w:t>767</w:t>
      </w:r>
      <w:r w:rsidR="00A331FA" w:rsidRPr="00F55BDF">
        <w:rPr>
          <w:rFonts w:cstheme="minorHAnsi"/>
          <w:lang w:val="fr-FR"/>
        </w:rPr>
        <w:t xml:space="preserve"> </w:t>
      </w:r>
    </w:p>
    <w:p w14:paraId="422CB262" w14:textId="33FD580B" w:rsidR="00A331FA" w:rsidRDefault="00A331FA" w:rsidP="00A331FA">
      <w:pPr>
        <w:pStyle w:val="ListParagraph"/>
        <w:numPr>
          <w:ilvl w:val="0"/>
          <w:numId w:val="2"/>
        </w:numPr>
        <w:spacing w:before="0" w:after="0" w:line="240" w:lineRule="auto"/>
        <w:jc w:val="both"/>
        <w:rPr>
          <w:rFonts w:cstheme="minorHAnsi"/>
          <w:lang w:val="fr-FR"/>
        </w:rPr>
      </w:pPr>
      <w:r w:rsidRPr="00F55BDF">
        <w:rPr>
          <w:rFonts w:cstheme="minorHAnsi"/>
          <w:i/>
          <w:lang w:val="fr-FR"/>
        </w:rPr>
        <w:t>Réalisation</w:t>
      </w:r>
      <w:r w:rsidRPr="00F55BDF">
        <w:rPr>
          <w:rFonts w:cstheme="minorHAnsi"/>
          <w:lang w:val="fr-FR"/>
        </w:rPr>
        <w:t xml:space="preserve"> (de l’année) + % d’avancement vers la cible de l’année : non précisé</w:t>
      </w:r>
      <w:r w:rsidR="00BC1452">
        <w:rPr>
          <w:rFonts w:cstheme="minorHAnsi"/>
          <w:lang w:val="fr-FR"/>
        </w:rPr>
        <w:t xml:space="preserve"> : </w:t>
      </w:r>
    </w:p>
    <w:p w14:paraId="3F427135" w14:textId="77777777" w:rsidR="002D6068" w:rsidRDefault="002D6068" w:rsidP="00BC1452">
      <w:pPr>
        <w:pStyle w:val="ListParagraph"/>
        <w:spacing w:before="0" w:after="0" w:line="240" w:lineRule="auto"/>
        <w:jc w:val="both"/>
        <w:rPr>
          <w:rFonts w:cstheme="minorHAnsi"/>
          <w:iCs/>
          <w:lang w:val="fr-FR"/>
        </w:rPr>
      </w:pPr>
    </w:p>
    <w:p w14:paraId="29A40451" w14:textId="33E9B697" w:rsidR="002D6068" w:rsidRPr="001C08C1" w:rsidRDefault="002D6068" w:rsidP="001C08C1">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1C08C1">
        <w:rPr>
          <w:rFonts w:eastAsia="MS PGothic" w:hAnsi="Calibri"/>
          <w:color w:val="000000" w:themeColor="text1"/>
          <w:kern w:val="24"/>
        </w:rPr>
        <w:t xml:space="preserve">Nombres de personnes ayant bénéficié des formations dans les champs école </w:t>
      </w:r>
      <w:r w:rsidR="001C08C1" w:rsidRPr="001C08C1">
        <w:rPr>
          <w:rFonts w:eastAsia="MS PGothic" w:hAnsi="Calibri"/>
          <w:color w:val="000000" w:themeColor="text1"/>
          <w:kern w:val="24"/>
        </w:rPr>
        <w:t>/filières agricoles identifiées </w:t>
      </w:r>
      <w:r w:rsidR="001C08C1">
        <w:rPr>
          <w:rFonts w:eastAsia="MS PGothic" w:hAnsi="Calibri"/>
          <w:color w:val="000000" w:themeColor="text1"/>
          <w:kern w:val="24"/>
        </w:rPr>
        <w:t>(</w:t>
      </w:r>
      <w:r w:rsidR="0096355A">
        <w:rPr>
          <w:rFonts w:eastAsia="MS PGothic" w:hAnsi="Calibri"/>
          <w:color w:val="000000" w:themeColor="text1"/>
          <w:kern w:val="24"/>
        </w:rPr>
        <w:t xml:space="preserve">305 personnes) </w:t>
      </w:r>
      <w:r w:rsidR="001C08C1" w:rsidRPr="001C08C1">
        <w:rPr>
          <w:rFonts w:eastAsia="MS PGothic" w:hAnsi="Calibri"/>
          <w:color w:val="000000" w:themeColor="text1"/>
          <w:kern w:val="24"/>
        </w:rPr>
        <w:t>:</w:t>
      </w:r>
    </w:p>
    <w:p w14:paraId="19276A47" w14:textId="4AC18E5C" w:rsidR="00BC1452" w:rsidRDefault="00BC1452" w:rsidP="00BC1452">
      <w:pPr>
        <w:pStyle w:val="ListParagraph"/>
        <w:spacing w:before="0" w:after="0" w:line="240" w:lineRule="auto"/>
        <w:jc w:val="both"/>
        <w:rPr>
          <w:rFonts w:cstheme="minorHAnsi"/>
          <w:iCs/>
          <w:lang w:val="fr-FR"/>
        </w:rPr>
      </w:pPr>
      <w:r>
        <w:rPr>
          <w:rFonts w:cstheme="minorHAnsi"/>
          <w:iCs/>
          <w:lang w:val="fr-FR"/>
        </w:rPr>
        <w:t xml:space="preserve">Femmes jeunes formées : </w:t>
      </w:r>
      <w:r w:rsidR="0096355A">
        <w:rPr>
          <w:rFonts w:cstheme="minorHAnsi"/>
          <w:iCs/>
          <w:lang w:val="fr-FR"/>
        </w:rPr>
        <w:t>59</w:t>
      </w:r>
    </w:p>
    <w:p w14:paraId="311B10AA" w14:textId="7A6D8B21" w:rsidR="00BC1452" w:rsidRDefault="00BC1452" w:rsidP="00BC1452">
      <w:pPr>
        <w:pStyle w:val="ListParagraph"/>
        <w:spacing w:before="0" w:after="0" w:line="240" w:lineRule="auto"/>
        <w:jc w:val="both"/>
        <w:rPr>
          <w:rFonts w:cstheme="minorHAnsi"/>
          <w:iCs/>
          <w:lang w:val="fr-FR"/>
        </w:rPr>
      </w:pPr>
      <w:r>
        <w:rPr>
          <w:rFonts w:cstheme="minorHAnsi"/>
          <w:iCs/>
          <w:lang w:val="fr-FR"/>
        </w:rPr>
        <w:t>Femmes non jeunes formées :</w:t>
      </w:r>
      <w:r w:rsidR="009C0FB5">
        <w:rPr>
          <w:rFonts w:cstheme="minorHAnsi"/>
          <w:iCs/>
          <w:lang w:val="fr-FR"/>
        </w:rPr>
        <w:t xml:space="preserve"> </w:t>
      </w:r>
      <w:r w:rsidR="0096355A">
        <w:rPr>
          <w:rFonts w:cstheme="minorHAnsi"/>
          <w:iCs/>
          <w:lang w:val="fr-FR"/>
        </w:rPr>
        <w:t>87</w:t>
      </w:r>
    </w:p>
    <w:p w14:paraId="429CB711" w14:textId="65AA18F2" w:rsidR="00BC1452" w:rsidRDefault="00BC1452" w:rsidP="00BC1452">
      <w:pPr>
        <w:pStyle w:val="ListParagraph"/>
        <w:spacing w:before="0" w:after="0" w:line="240" w:lineRule="auto"/>
        <w:jc w:val="both"/>
        <w:rPr>
          <w:rFonts w:cstheme="minorHAnsi"/>
          <w:iCs/>
          <w:lang w:val="fr-FR"/>
        </w:rPr>
      </w:pPr>
      <w:r>
        <w:rPr>
          <w:rFonts w:cstheme="minorHAnsi"/>
          <w:iCs/>
          <w:lang w:val="fr-FR"/>
        </w:rPr>
        <w:t>Hommes jeunes formés :</w:t>
      </w:r>
      <w:r w:rsidR="009C0FB5">
        <w:rPr>
          <w:rFonts w:cstheme="minorHAnsi"/>
          <w:iCs/>
          <w:lang w:val="fr-FR"/>
        </w:rPr>
        <w:t xml:space="preserve"> </w:t>
      </w:r>
      <w:r w:rsidR="0096355A">
        <w:rPr>
          <w:rFonts w:cstheme="minorHAnsi"/>
          <w:iCs/>
          <w:lang w:val="fr-FR"/>
        </w:rPr>
        <w:t>130</w:t>
      </w:r>
    </w:p>
    <w:p w14:paraId="270210F6" w14:textId="1956E7F4" w:rsidR="00BC1452" w:rsidRDefault="00BC1452" w:rsidP="00BC1452">
      <w:pPr>
        <w:pStyle w:val="ListParagraph"/>
        <w:spacing w:before="0" w:after="0" w:line="240" w:lineRule="auto"/>
        <w:jc w:val="both"/>
        <w:rPr>
          <w:rFonts w:cstheme="minorHAnsi"/>
          <w:iCs/>
          <w:lang w:val="fr-FR"/>
        </w:rPr>
      </w:pPr>
      <w:r>
        <w:rPr>
          <w:rFonts w:cstheme="minorHAnsi"/>
          <w:iCs/>
          <w:lang w:val="fr-FR"/>
        </w:rPr>
        <w:t xml:space="preserve">Hommes non jeunes formés : </w:t>
      </w:r>
      <w:r w:rsidR="0096355A">
        <w:rPr>
          <w:rFonts w:cstheme="minorHAnsi"/>
          <w:iCs/>
          <w:lang w:val="fr-FR"/>
        </w:rPr>
        <w:t>29</w:t>
      </w:r>
    </w:p>
    <w:p w14:paraId="516A7235" w14:textId="3D9611BD" w:rsidR="002D6068" w:rsidRPr="001C08C1" w:rsidRDefault="002D6068" w:rsidP="001C08C1">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commentRangeStart w:id="4"/>
      <w:commentRangeStart w:id="5"/>
      <w:r w:rsidRPr="001C08C1">
        <w:rPr>
          <w:rFonts w:eastAsia="MS PGothic" w:hAnsi="Calibri"/>
          <w:color w:val="000000" w:themeColor="text1"/>
          <w:kern w:val="24"/>
        </w:rPr>
        <w:t xml:space="preserve">Nombres de personnes ayant bénéficié de l’AGR cash for </w:t>
      </w:r>
      <w:proofErr w:type="spellStart"/>
      <w:r w:rsidRPr="001C08C1">
        <w:rPr>
          <w:rFonts w:eastAsia="MS PGothic" w:hAnsi="Calibri"/>
          <w:color w:val="000000" w:themeColor="text1"/>
          <w:kern w:val="24"/>
        </w:rPr>
        <w:t>work</w:t>
      </w:r>
      <w:proofErr w:type="spellEnd"/>
      <w:r w:rsidRPr="001C08C1">
        <w:rPr>
          <w:rFonts w:eastAsia="MS PGothic" w:hAnsi="Calibri"/>
          <w:color w:val="000000" w:themeColor="text1"/>
          <w:kern w:val="24"/>
        </w:rPr>
        <w:t xml:space="preserve"> dans les sites pépinières et d</w:t>
      </w:r>
      <w:r w:rsidR="001C08C1">
        <w:rPr>
          <w:rFonts w:eastAsia="MS PGothic" w:hAnsi="Calibri"/>
          <w:color w:val="000000" w:themeColor="text1"/>
          <w:kern w:val="24"/>
        </w:rPr>
        <w:t xml:space="preserve">ans la </w:t>
      </w:r>
      <w:r w:rsidRPr="001C08C1">
        <w:rPr>
          <w:rFonts w:eastAsia="MS PGothic" w:hAnsi="Calibri"/>
          <w:color w:val="000000" w:themeColor="text1"/>
          <w:kern w:val="24"/>
        </w:rPr>
        <w:t>construction de pare feu autour des APC </w:t>
      </w:r>
      <w:r w:rsidR="001C08C1">
        <w:rPr>
          <w:rFonts w:eastAsia="MS PGothic" w:hAnsi="Calibri"/>
          <w:color w:val="000000" w:themeColor="text1"/>
          <w:kern w:val="24"/>
        </w:rPr>
        <w:t>(948 personnes) :</w:t>
      </w:r>
      <w:commentRangeEnd w:id="4"/>
      <w:r w:rsidR="00DF4D7E">
        <w:rPr>
          <w:rStyle w:val="CommentReference"/>
          <w:rFonts w:ascii="Arial" w:eastAsia="Times New Roman" w:hAnsi="Arial" w:cs="Times New Roman"/>
        </w:rPr>
        <w:commentReference w:id="4"/>
      </w:r>
      <w:commentRangeEnd w:id="5"/>
      <w:r w:rsidR="009C1DF0">
        <w:rPr>
          <w:rFonts w:eastAsia="MS PGothic" w:hAnsi="Calibri"/>
          <w:color w:val="000000" w:themeColor="text1"/>
          <w:kern w:val="24"/>
        </w:rPr>
        <w:t xml:space="preserve"> </w:t>
      </w:r>
      <w:r w:rsidR="009C1DF0" w:rsidRPr="004F2DAB">
        <w:rPr>
          <w:rFonts w:eastAsia="MS PGothic" w:hAnsi="Calibri"/>
          <w:b/>
          <w:color w:val="000000" w:themeColor="text1"/>
          <w:kern w:val="24"/>
        </w:rPr>
        <w:t>Emplois verts</w:t>
      </w:r>
      <w:r w:rsidR="009C1DF0">
        <w:rPr>
          <w:rFonts w:eastAsia="MS PGothic" w:hAnsi="Calibri"/>
          <w:color w:val="000000" w:themeColor="text1"/>
          <w:kern w:val="24"/>
        </w:rPr>
        <w:t xml:space="preserve"> </w:t>
      </w:r>
      <w:r w:rsidR="00DF4D7E">
        <w:rPr>
          <w:rStyle w:val="CommentReference"/>
          <w:rFonts w:ascii="Arial" w:eastAsia="Times New Roman" w:hAnsi="Arial" w:cs="Times New Roman"/>
        </w:rPr>
        <w:commentReference w:id="5"/>
      </w:r>
    </w:p>
    <w:p w14:paraId="00A1A86A" w14:textId="49F506CF" w:rsidR="002D6068" w:rsidRPr="002D6068" w:rsidRDefault="002D6068" w:rsidP="002D6068">
      <w:pPr>
        <w:pStyle w:val="ListParagraph"/>
        <w:spacing w:after="0" w:line="240" w:lineRule="auto"/>
        <w:jc w:val="both"/>
        <w:rPr>
          <w:rFonts w:cstheme="minorHAnsi"/>
          <w:iCs/>
          <w:lang w:val="fr-FR"/>
        </w:rPr>
      </w:pPr>
      <w:r w:rsidRPr="002D6068">
        <w:rPr>
          <w:rFonts w:cstheme="minorHAnsi"/>
          <w:iCs/>
          <w:lang w:val="fr-FR"/>
        </w:rPr>
        <w:t xml:space="preserve">Femmes jeunes : </w:t>
      </w:r>
      <w:r w:rsidR="001C08C1">
        <w:rPr>
          <w:rFonts w:cstheme="minorHAnsi"/>
          <w:iCs/>
          <w:lang w:val="fr-FR"/>
        </w:rPr>
        <w:t>398</w:t>
      </w:r>
    </w:p>
    <w:p w14:paraId="54C699C9" w14:textId="48A04EA2" w:rsidR="002D6068" w:rsidRPr="002D6068" w:rsidRDefault="002D6068" w:rsidP="002D6068">
      <w:pPr>
        <w:pStyle w:val="ListParagraph"/>
        <w:spacing w:after="0" w:line="240" w:lineRule="auto"/>
        <w:jc w:val="both"/>
        <w:rPr>
          <w:rFonts w:cstheme="minorHAnsi"/>
          <w:iCs/>
          <w:lang w:val="fr-FR"/>
        </w:rPr>
      </w:pPr>
      <w:r w:rsidRPr="002D6068">
        <w:rPr>
          <w:rFonts w:cstheme="minorHAnsi"/>
          <w:iCs/>
          <w:lang w:val="fr-FR"/>
        </w:rPr>
        <w:t xml:space="preserve">Femmes non jeunes : </w:t>
      </w:r>
      <w:r w:rsidR="001C08C1">
        <w:rPr>
          <w:rFonts w:cstheme="minorHAnsi"/>
          <w:iCs/>
          <w:lang w:val="fr-FR"/>
        </w:rPr>
        <w:t>171</w:t>
      </w:r>
    </w:p>
    <w:p w14:paraId="6206A576" w14:textId="0DA36639" w:rsidR="002D6068" w:rsidRPr="002D6068" w:rsidRDefault="002D6068" w:rsidP="002D6068">
      <w:pPr>
        <w:pStyle w:val="ListParagraph"/>
        <w:spacing w:after="0" w:line="240" w:lineRule="auto"/>
        <w:jc w:val="both"/>
        <w:rPr>
          <w:rFonts w:cstheme="minorHAnsi"/>
          <w:iCs/>
          <w:lang w:val="fr-FR"/>
        </w:rPr>
      </w:pPr>
      <w:r w:rsidRPr="002D6068">
        <w:rPr>
          <w:rFonts w:cstheme="minorHAnsi"/>
          <w:iCs/>
          <w:lang w:val="fr-FR"/>
        </w:rPr>
        <w:t xml:space="preserve">Hommes jeunes : </w:t>
      </w:r>
      <w:r w:rsidR="001C08C1">
        <w:rPr>
          <w:rFonts w:cstheme="minorHAnsi"/>
          <w:iCs/>
          <w:lang w:val="fr-FR"/>
        </w:rPr>
        <w:t>265</w:t>
      </w:r>
    </w:p>
    <w:p w14:paraId="0A70A494" w14:textId="71C25F77" w:rsidR="002D6068" w:rsidRPr="00BC1452" w:rsidRDefault="002D6068" w:rsidP="002D6068">
      <w:pPr>
        <w:pStyle w:val="ListParagraph"/>
        <w:spacing w:before="0" w:after="0" w:line="240" w:lineRule="auto"/>
        <w:jc w:val="both"/>
        <w:rPr>
          <w:rFonts w:cstheme="minorHAnsi"/>
          <w:iCs/>
          <w:lang w:val="fr-FR"/>
        </w:rPr>
      </w:pPr>
      <w:r w:rsidRPr="002D6068">
        <w:rPr>
          <w:rFonts w:cstheme="minorHAnsi"/>
          <w:iCs/>
          <w:lang w:val="fr-FR"/>
        </w:rPr>
        <w:t>Hommes non jeunes :</w:t>
      </w:r>
      <w:r w:rsidR="001C08C1">
        <w:rPr>
          <w:rFonts w:cstheme="minorHAnsi"/>
          <w:iCs/>
          <w:lang w:val="fr-FR"/>
        </w:rPr>
        <w:t xml:space="preserve"> 114</w:t>
      </w:r>
    </w:p>
    <w:p w14:paraId="582BC3B0" w14:textId="77777777" w:rsidR="00BC1452" w:rsidRPr="00BC1452" w:rsidRDefault="00BC1452" w:rsidP="00BC1452">
      <w:pPr>
        <w:pStyle w:val="ListParagraph"/>
        <w:spacing w:before="0" w:after="0" w:line="240" w:lineRule="auto"/>
        <w:jc w:val="both"/>
        <w:rPr>
          <w:rFonts w:cstheme="minorHAnsi"/>
          <w:iCs/>
          <w:lang w:val="fr-FR"/>
        </w:rPr>
      </w:pPr>
    </w:p>
    <w:p w14:paraId="47C44307" w14:textId="77777777" w:rsidR="00A331FA" w:rsidRPr="00F55BDF" w:rsidRDefault="00A331FA" w:rsidP="00A331FA">
      <w:pPr>
        <w:pStyle w:val="ListParagraph"/>
        <w:numPr>
          <w:ilvl w:val="0"/>
          <w:numId w:val="2"/>
        </w:numPr>
        <w:spacing w:before="0" w:after="0" w:line="240" w:lineRule="auto"/>
        <w:jc w:val="both"/>
        <w:rPr>
          <w:rFonts w:cstheme="minorHAnsi"/>
          <w:i/>
          <w:lang w:val="fr-FR"/>
        </w:rPr>
      </w:pPr>
      <w:r w:rsidRPr="00F55BDF">
        <w:rPr>
          <w:rFonts w:cstheme="minorHAnsi"/>
          <w:i/>
          <w:lang w:val="fr-FR"/>
        </w:rPr>
        <w:t xml:space="preserve">Commentaires et explications par rapport aux indicateurs </w:t>
      </w:r>
      <w:proofErr w:type="spellStart"/>
      <w:r w:rsidRPr="00F55BDF">
        <w:rPr>
          <w:rFonts w:cstheme="minorHAnsi"/>
          <w:i/>
          <w:lang w:val="fr-FR"/>
        </w:rPr>
        <w:t>sus-mentionnés</w:t>
      </w:r>
      <w:proofErr w:type="spellEnd"/>
      <w:r w:rsidRPr="00F55BDF">
        <w:rPr>
          <w:rFonts w:cstheme="minorHAnsi"/>
          <w:i/>
          <w:lang w:val="fr-FR"/>
        </w:rPr>
        <w:t xml:space="preserve"> : si la cible a été atteinte dire quels ont été les facteurs de succès, dans le cas contraire dire quelles ont été les contraintes/lacunes.</w:t>
      </w:r>
    </w:p>
    <w:p w14:paraId="54A30E7C" w14:textId="6EB50698" w:rsidR="00A331FA" w:rsidRPr="00BC1452" w:rsidRDefault="00FD1889" w:rsidP="007414AE">
      <w:pPr>
        <w:jc w:val="both"/>
        <w:rPr>
          <w:bCs/>
        </w:rPr>
      </w:pPr>
      <w:r>
        <w:rPr>
          <w:bCs/>
        </w:rPr>
        <w:lastRenderedPageBreak/>
        <w:t>En se référant au</w:t>
      </w:r>
      <w:r w:rsidR="0096355A" w:rsidRPr="0096355A">
        <w:rPr>
          <w:bCs/>
        </w:rPr>
        <w:t xml:space="preserve"> Code des Aires Protégées (COAP), loi 2015/05 du 2</w:t>
      </w:r>
      <w:r>
        <w:rPr>
          <w:bCs/>
        </w:rPr>
        <w:t>6</w:t>
      </w:r>
      <w:r w:rsidR="0096355A" w:rsidRPr="0096355A">
        <w:rPr>
          <w:bCs/>
        </w:rPr>
        <w:t xml:space="preserve"> février 2015 portant </w:t>
      </w:r>
      <w:r>
        <w:rPr>
          <w:bCs/>
        </w:rPr>
        <w:t>refonte du code de gestion des Aires Protégées à Madagascar et du document de gestion des AP, Plan de Gestion Environnementale et de Sauvegarde Sociale (PGESS)</w:t>
      </w:r>
      <w:r w:rsidR="0096355A">
        <w:rPr>
          <w:bCs/>
        </w:rPr>
        <w:t xml:space="preserve"> ; les Personnes Affectées par le Projet (PAP) de création des AP sont les membres des communautés vivant autour de ces AP </w:t>
      </w:r>
      <w:r>
        <w:rPr>
          <w:bCs/>
        </w:rPr>
        <w:t xml:space="preserve">dépendant </w:t>
      </w:r>
      <w:r w:rsidR="0096355A">
        <w:rPr>
          <w:bCs/>
        </w:rPr>
        <w:t xml:space="preserve">des ressources naturelles </w:t>
      </w:r>
      <w:r>
        <w:rPr>
          <w:bCs/>
        </w:rPr>
        <w:t xml:space="preserve">qui s’y trouvent. Il y a 3 catégories de PAP, à savoir : les PAP majeures (75% ou plus de dépendance) ; les PAP moyennes (75 à 35% de dépendance) et les PAP mineures (moins de 35% de dépendance). Pour le projet APAA, la détermination du nombre de ces PAP dépend de la finalisation du PGESS de chaque APC </w:t>
      </w:r>
      <w:r w:rsidR="004B6159">
        <w:rPr>
          <w:bCs/>
        </w:rPr>
        <w:t xml:space="preserve">qui est prévu pour Q3 2020. Les principaux bénéficiaires des AGR à développer sont donc ces individus ; c’est pourquoi, les étapes franchies jusqu’ici (2019) concernent généralement la formation et équipement par rapport aux filières agricoles identifiées. Le nombre de personnes concernées par ces activités est de 305 personnes. Toutefois, en attendant ces résultats (nombre de PAP du PGESS), les données des enquêtes socio-économiques de base dans les Fokontany concernées par ces APC et AP ont permis d’identifier les personnes vulnérables. Afin de responsabiliser les populations locales vivant autour des APC et des AP, des activités comme la construction des pare- feux autour des APC et AP et la production de 10 000 0000 de jeunes plants pour le reboisement dans les sites pépinières sont menées en collaboration avec la DREDD. Au total 948 personnes sont concernées par ces activités avec le système cash for </w:t>
      </w:r>
      <w:proofErr w:type="spellStart"/>
      <w:r w:rsidR="004B6159">
        <w:rPr>
          <w:bCs/>
        </w:rPr>
        <w:t>work</w:t>
      </w:r>
      <w:proofErr w:type="spellEnd"/>
      <w:r w:rsidR="004B6159">
        <w:rPr>
          <w:bCs/>
        </w:rPr>
        <w:t>. Ce</w:t>
      </w:r>
      <w:r w:rsidR="007414AE">
        <w:rPr>
          <w:bCs/>
        </w:rPr>
        <w:t xml:space="preserve">s actions de mobilisation sous forme d’AGR </w:t>
      </w:r>
      <w:r w:rsidR="004B6159">
        <w:rPr>
          <w:bCs/>
        </w:rPr>
        <w:t>visent à</w:t>
      </w:r>
      <w:r w:rsidR="007414AE">
        <w:rPr>
          <w:bCs/>
        </w:rPr>
        <w:t xml:space="preserve"> (i) responsabiliser les communautés locales dans la prévention (</w:t>
      </w:r>
      <w:proofErr w:type="spellStart"/>
      <w:r w:rsidR="007414AE">
        <w:rPr>
          <w:bCs/>
        </w:rPr>
        <w:t>lute</w:t>
      </w:r>
      <w:proofErr w:type="spellEnd"/>
      <w:r w:rsidR="007414AE">
        <w:rPr>
          <w:bCs/>
        </w:rPr>
        <w:t xml:space="preserve"> contre les feux) et le reboisement (production de jeunes plants dans les pépinières) ; (ii) à réduire les pressions qui pèsent sur les APC et AP et (iii) à contribuer au reboisement à l’échelle régionale. La cible est dépassée grâce à la gestion adaptative privilégiant la collaboration et la valorisation des acquis des autres parties prenantes. </w:t>
      </w:r>
    </w:p>
    <w:p w14:paraId="169F6D67" w14:textId="77777777" w:rsidR="00B15BBA" w:rsidRPr="00F55BDF" w:rsidRDefault="00A94FE0" w:rsidP="00B15BBA">
      <w:pPr>
        <w:pStyle w:val="ListParagraph"/>
        <w:numPr>
          <w:ilvl w:val="0"/>
          <w:numId w:val="2"/>
        </w:numPr>
        <w:spacing w:before="0" w:after="0" w:line="240" w:lineRule="auto"/>
        <w:jc w:val="both"/>
        <w:rPr>
          <w:rFonts w:cstheme="minorHAnsi"/>
          <w:u w:val="single"/>
          <w:lang w:val="fr-FR"/>
        </w:rPr>
      </w:pPr>
      <w:bookmarkStart w:id="6" w:name="_Hlk28933909"/>
      <w:r w:rsidRPr="00F55BDF">
        <w:rPr>
          <w:lang w:val="fr-FR"/>
        </w:rPr>
        <w:t xml:space="preserve">Intitulé indicateur : </w:t>
      </w:r>
      <w:r w:rsidR="00B15BBA" w:rsidRPr="00F55BDF">
        <w:rPr>
          <w:rFonts w:cstheme="minorHAnsi"/>
          <w:u w:val="single"/>
          <w:lang w:val="fr-FR"/>
        </w:rPr>
        <w:t>Indicateur 4.2 : Nombre d’emploi verts créés pour les populations vulnérables à travers la gestion durable des ressources naturelles, les énergies renouvelables, l’agriculture durable, l’éco-tourisme, les services des écosystèmes, le traitement des produits chimiques et des déchets, désagrégé par sexe et par tranche d’âge.</w:t>
      </w:r>
    </w:p>
    <w:p w14:paraId="7D34C87A" w14:textId="77777777" w:rsidR="00B15BBA" w:rsidRPr="00F55BDF" w:rsidRDefault="00B15BBA" w:rsidP="00B15BBA">
      <w:pPr>
        <w:pStyle w:val="ListParagraph"/>
        <w:spacing w:after="0" w:line="240" w:lineRule="auto"/>
        <w:jc w:val="both"/>
        <w:rPr>
          <w:rFonts w:cstheme="minorHAnsi"/>
          <w:i/>
          <w:lang w:val="fr-FR"/>
        </w:rPr>
      </w:pPr>
    </w:p>
    <w:p w14:paraId="6CFBFC22" w14:textId="25C3E59C" w:rsidR="00B15BBA" w:rsidRPr="00F55BDF" w:rsidRDefault="00B15BBA" w:rsidP="00B15BB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t xml:space="preserve">Total emplois verts créés </w:t>
      </w:r>
    </w:p>
    <w:p w14:paraId="1A04A275" w14:textId="77777777" w:rsidR="00B15BBA" w:rsidRPr="00F55BDF" w:rsidRDefault="00B15BBA" w:rsidP="00B15BB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t>Emplois verts pour femmes jeunes</w:t>
      </w:r>
    </w:p>
    <w:p w14:paraId="3ED930F4" w14:textId="77777777" w:rsidR="00B15BBA" w:rsidRPr="00F55BDF" w:rsidRDefault="00B15BBA" w:rsidP="00B15BB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t>Emploi verts pour femmes non jeunes</w:t>
      </w:r>
    </w:p>
    <w:p w14:paraId="2D37E14D" w14:textId="77777777" w:rsidR="00B15BBA" w:rsidRPr="00F55BDF" w:rsidRDefault="00B15BBA" w:rsidP="00B15BB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t>Emploi verts pour hommes jeunes</w:t>
      </w:r>
    </w:p>
    <w:p w14:paraId="53CB0696" w14:textId="77777777" w:rsidR="00B15BBA" w:rsidRPr="00F55BDF" w:rsidRDefault="00B15BBA" w:rsidP="00B15BBA">
      <w:pPr>
        <w:pStyle w:val="ListParagraph"/>
        <w:spacing w:after="0" w:line="240" w:lineRule="auto"/>
        <w:ind w:left="1416"/>
        <w:jc w:val="both"/>
        <w:rPr>
          <w:rFonts w:cstheme="minorHAnsi"/>
          <w:i/>
          <w:lang w:val="fr-FR"/>
        </w:rPr>
      </w:pPr>
      <w:r w:rsidRPr="00F55BDF">
        <w:rPr>
          <w:rFonts w:cstheme="minorHAnsi"/>
          <w:i/>
          <w:lang w:val="fr-FR"/>
        </w:rPr>
        <w:t>-</w:t>
      </w:r>
      <w:r w:rsidRPr="00F55BDF">
        <w:rPr>
          <w:rFonts w:cstheme="minorHAnsi"/>
          <w:i/>
          <w:lang w:val="fr-FR"/>
        </w:rPr>
        <w:tab/>
        <w:t>Emploi verts pour hommes non jeunes</w:t>
      </w:r>
    </w:p>
    <w:p w14:paraId="2EC88A80" w14:textId="77777777" w:rsidR="00B15BBA" w:rsidRPr="00F55BDF" w:rsidRDefault="00B15BBA" w:rsidP="00B15BBA">
      <w:pPr>
        <w:pStyle w:val="ListParagraph"/>
        <w:spacing w:after="0" w:line="240" w:lineRule="auto"/>
        <w:jc w:val="both"/>
        <w:rPr>
          <w:rFonts w:cstheme="minorHAnsi"/>
          <w:i/>
          <w:lang w:val="fr-FR"/>
        </w:rPr>
      </w:pPr>
    </w:p>
    <w:p w14:paraId="5E761A74" w14:textId="77777777" w:rsidR="00B15BBA" w:rsidRPr="00F55BDF" w:rsidRDefault="00B15BBA" w:rsidP="00B15BBA">
      <w:pPr>
        <w:pStyle w:val="ListParagraph"/>
        <w:spacing w:after="0" w:line="240" w:lineRule="auto"/>
        <w:jc w:val="both"/>
        <w:rPr>
          <w:rFonts w:cstheme="minorHAnsi"/>
          <w:i/>
          <w:lang w:val="fr-FR"/>
        </w:rPr>
      </w:pPr>
      <w:r w:rsidRPr="00F55BDF">
        <w:rPr>
          <w:rFonts w:cstheme="minorHAnsi"/>
          <w:i/>
          <w:lang w:val="fr-FR"/>
        </w:rPr>
        <w:t>Donnée de référence : 0</w:t>
      </w:r>
    </w:p>
    <w:p w14:paraId="73E1B8B1" w14:textId="77777777" w:rsidR="00B15BBA" w:rsidRPr="00F55BDF" w:rsidRDefault="00B15BBA" w:rsidP="00B15BBA">
      <w:pPr>
        <w:pStyle w:val="ListParagraph"/>
        <w:spacing w:after="0" w:line="240" w:lineRule="auto"/>
        <w:jc w:val="both"/>
        <w:rPr>
          <w:rFonts w:cstheme="minorHAnsi"/>
          <w:i/>
          <w:lang w:val="fr-FR"/>
        </w:rPr>
      </w:pPr>
      <w:r w:rsidRPr="00F55BDF">
        <w:rPr>
          <w:rFonts w:cstheme="minorHAnsi"/>
          <w:i/>
          <w:lang w:val="fr-FR"/>
        </w:rPr>
        <w:t>Cible (au niveau du PNUD) : 25 000 (5 000/an)</w:t>
      </w:r>
    </w:p>
    <w:p w14:paraId="3577555D" w14:textId="138BD850" w:rsidR="00B15BBA" w:rsidRPr="00F55BDF" w:rsidRDefault="00B15BBA" w:rsidP="00B15BBA">
      <w:pPr>
        <w:pStyle w:val="ListParagraph"/>
        <w:spacing w:after="0" w:line="240" w:lineRule="auto"/>
        <w:jc w:val="both"/>
        <w:rPr>
          <w:rFonts w:cstheme="minorHAnsi"/>
          <w:i/>
          <w:lang w:val="fr-FR"/>
        </w:rPr>
      </w:pPr>
      <w:r w:rsidRPr="00F55BDF">
        <w:rPr>
          <w:rFonts w:cstheme="minorHAnsi"/>
          <w:i/>
          <w:lang w:val="fr-FR"/>
        </w:rPr>
        <w:t xml:space="preserve">Source des données : Rapports trimestriels su projet APAA suivant contribution dans UNDAF 2019. </w:t>
      </w:r>
    </w:p>
    <w:p w14:paraId="5B684024" w14:textId="69E836C3" w:rsidR="00A94FE0" w:rsidRPr="00F55BDF" w:rsidRDefault="00A94FE0" w:rsidP="00A94FE0">
      <w:pPr>
        <w:pStyle w:val="ListParagraph"/>
        <w:spacing w:after="0" w:line="240" w:lineRule="auto"/>
        <w:jc w:val="both"/>
        <w:rPr>
          <w:lang w:val="fr-FR"/>
        </w:rPr>
      </w:pPr>
    </w:p>
    <w:p w14:paraId="0C89B6FA" w14:textId="66C8C67D" w:rsidR="00A94FE0" w:rsidRPr="00F55BDF" w:rsidRDefault="00A94FE0" w:rsidP="00A94FE0">
      <w:pPr>
        <w:pStyle w:val="ListParagraph"/>
        <w:spacing w:after="0" w:line="240" w:lineRule="auto"/>
        <w:jc w:val="both"/>
        <w:rPr>
          <w:u w:val="single"/>
          <w:lang w:val="fr-FR"/>
        </w:rPr>
      </w:pPr>
      <w:r w:rsidRPr="00F55BDF">
        <w:rPr>
          <w:u w:val="single"/>
          <w:lang w:val="fr-FR"/>
        </w:rPr>
        <w:t>Pour la durée du projet :</w:t>
      </w:r>
      <w:r w:rsidR="00B15BBA" w:rsidRPr="00F55BDF">
        <w:rPr>
          <w:u w:val="single"/>
          <w:lang w:val="fr-FR"/>
        </w:rPr>
        <w:t xml:space="preserve"> </w:t>
      </w:r>
      <w:r w:rsidR="00B15BBA" w:rsidRPr="00F55BDF">
        <w:rPr>
          <w:lang w:val="fr-FR"/>
        </w:rPr>
        <w:t>2017 - 2022</w:t>
      </w:r>
    </w:p>
    <w:p w14:paraId="680F3388" w14:textId="0A4EA288" w:rsidR="00A94FE0" w:rsidRPr="00F55BDF" w:rsidRDefault="00A94FE0" w:rsidP="00A94FE0">
      <w:pPr>
        <w:pStyle w:val="ListParagraph"/>
        <w:spacing w:after="0" w:line="240" w:lineRule="auto"/>
        <w:jc w:val="both"/>
        <w:rPr>
          <w:lang w:val="fr-FR"/>
        </w:rPr>
      </w:pPr>
    </w:p>
    <w:p w14:paraId="2AD5EB7E" w14:textId="77777777" w:rsidR="00B15BBA" w:rsidRPr="00F55BDF" w:rsidRDefault="00B15BBA" w:rsidP="00B15BBA">
      <w:pPr>
        <w:pStyle w:val="ListParagraph"/>
        <w:numPr>
          <w:ilvl w:val="0"/>
          <w:numId w:val="2"/>
        </w:numPr>
        <w:spacing w:before="0" w:after="0" w:line="240" w:lineRule="auto"/>
        <w:jc w:val="both"/>
        <w:rPr>
          <w:rFonts w:cstheme="minorHAnsi"/>
          <w:lang w:val="fr-FR"/>
        </w:rPr>
      </w:pPr>
      <w:r w:rsidRPr="00F55BDF">
        <w:rPr>
          <w:rFonts w:cstheme="minorHAnsi"/>
          <w:i/>
          <w:lang w:val="fr-FR"/>
        </w:rPr>
        <w:t>Baseline début du projet (spécifier année) :</w:t>
      </w:r>
      <w:r w:rsidRPr="00F55BDF">
        <w:rPr>
          <w:rFonts w:cstheme="minorHAnsi"/>
          <w:lang w:val="fr-FR"/>
        </w:rPr>
        <w:t xml:space="preserve"> 0 (2017)</w:t>
      </w:r>
    </w:p>
    <w:p w14:paraId="6BB7FA2B" w14:textId="5C597446" w:rsidR="00B15BBA" w:rsidRPr="00F55BDF" w:rsidRDefault="00B15BBA" w:rsidP="00B15BBA">
      <w:pPr>
        <w:pStyle w:val="ListParagraph"/>
        <w:numPr>
          <w:ilvl w:val="0"/>
          <w:numId w:val="2"/>
        </w:numPr>
        <w:spacing w:before="0" w:after="0" w:line="240" w:lineRule="auto"/>
        <w:jc w:val="both"/>
        <w:rPr>
          <w:rFonts w:cstheme="minorHAnsi"/>
          <w:i/>
          <w:lang w:val="fr-FR"/>
        </w:rPr>
      </w:pPr>
      <w:r w:rsidRPr="00F55BDF">
        <w:rPr>
          <w:rFonts w:cstheme="minorHAnsi"/>
          <w:i/>
          <w:lang w:val="fr-FR"/>
        </w:rPr>
        <w:t>Cible cumulée à la fin du projet (spécifier année) : </w:t>
      </w:r>
      <w:r w:rsidRPr="00F55BDF">
        <w:rPr>
          <w:rFonts w:cstheme="minorHAnsi"/>
          <w:lang w:val="fr-FR"/>
        </w:rPr>
        <w:t>cet indicateur est</w:t>
      </w:r>
      <w:r w:rsidRPr="00F55BDF">
        <w:rPr>
          <w:rFonts w:cstheme="minorHAnsi"/>
          <w:i/>
          <w:lang w:val="fr-FR"/>
        </w:rPr>
        <w:t xml:space="preserve"> </w:t>
      </w:r>
      <w:r w:rsidRPr="00F55BDF">
        <w:rPr>
          <w:rFonts w:cstheme="minorHAnsi"/>
          <w:lang w:val="fr-FR"/>
        </w:rPr>
        <w:t>non précisé dans le document de projet</w:t>
      </w:r>
      <w:r w:rsidR="00C01D12" w:rsidRPr="00F55BDF">
        <w:rPr>
          <w:rFonts w:cstheme="minorHAnsi"/>
          <w:lang w:val="fr-FR"/>
        </w:rPr>
        <w:t xml:space="preserve">. </w:t>
      </w:r>
      <w:proofErr w:type="gramStart"/>
      <w:r w:rsidR="00C01D12" w:rsidRPr="00F55BDF">
        <w:rPr>
          <w:rFonts w:cstheme="minorHAnsi"/>
          <w:lang w:val="fr-FR"/>
        </w:rPr>
        <w:t>Par contre</w:t>
      </w:r>
      <w:proofErr w:type="gramEnd"/>
      <w:r w:rsidR="00C01D12" w:rsidRPr="00F55BDF">
        <w:rPr>
          <w:rFonts w:cstheme="minorHAnsi"/>
          <w:lang w:val="fr-FR"/>
        </w:rPr>
        <w:t xml:space="preserve"> dans le Plan de Suivi-Evaluation mis à jour en juin 2019, le nombre d’emplois verts à créer à la fin du projet est de 3 620. </w:t>
      </w:r>
    </w:p>
    <w:p w14:paraId="0C0522B5" w14:textId="77777777" w:rsidR="00B15BBA" w:rsidRPr="00F55BDF" w:rsidRDefault="00B15BBA" w:rsidP="00B15BBA">
      <w:pPr>
        <w:pStyle w:val="ListParagraph"/>
        <w:numPr>
          <w:ilvl w:val="0"/>
          <w:numId w:val="2"/>
        </w:numPr>
        <w:spacing w:before="0" w:after="0" w:line="240" w:lineRule="auto"/>
        <w:jc w:val="both"/>
        <w:rPr>
          <w:rFonts w:cstheme="minorHAnsi"/>
          <w:i/>
          <w:lang w:val="fr-FR"/>
        </w:rPr>
      </w:pPr>
      <w:r w:rsidRPr="00F55BDF">
        <w:rPr>
          <w:rFonts w:cstheme="minorHAnsi"/>
          <w:i/>
          <w:lang w:val="fr-FR"/>
        </w:rPr>
        <w:t>Réalisation (valeur cumulée) + % d’avancement vers la cible de fin du projet : N/A</w:t>
      </w:r>
    </w:p>
    <w:p w14:paraId="05BDF0E9" w14:textId="77777777" w:rsidR="00B15BBA" w:rsidRPr="00F55BDF" w:rsidRDefault="00B15BBA" w:rsidP="00A94FE0">
      <w:pPr>
        <w:pStyle w:val="ListParagraph"/>
        <w:spacing w:after="0" w:line="240" w:lineRule="auto"/>
        <w:jc w:val="both"/>
        <w:rPr>
          <w:lang w:val="fr-FR"/>
        </w:rPr>
      </w:pPr>
    </w:p>
    <w:p w14:paraId="4B63424D" w14:textId="2F784D8C" w:rsidR="00A94FE0" w:rsidRPr="00F55BDF" w:rsidRDefault="00A94FE0" w:rsidP="00A94FE0">
      <w:pPr>
        <w:pStyle w:val="ListParagraph"/>
        <w:spacing w:after="0" w:line="240" w:lineRule="auto"/>
        <w:jc w:val="both"/>
        <w:rPr>
          <w:u w:val="single"/>
          <w:lang w:val="fr-FR"/>
        </w:rPr>
      </w:pPr>
      <w:r w:rsidRPr="00F55BDF">
        <w:rPr>
          <w:u w:val="single"/>
          <w:lang w:val="fr-FR"/>
        </w:rPr>
        <w:t>Pour l’année considérée :</w:t>
      </w:r>
      <w:r w:rsidR="00B15BBA" w:rsidRPr="00F55BDF">
        <w:rPr>
          <w:lang w:val="fr-FR"/>
        </w:rPr>
        <w:t xml:space="preserve"> 2019</w:t>
      </w:r>
    </w:p>
    <w:p w14:paraId="00170F7F" w14:textId="16E9A4AD" w:rsidR="00A94FE0" w:rsidRPr="00F55BDF" w:rsidRDefault="00A94FE0" w:rsidP="00A94FE0">
      <w:pPr>
        <w:pStyle w:val="ListParagraph"/>
        <w:spacing w:after="0" w:line="240" w:lineRule="auto"/>
        <w:jc w:val="both"/>
        <w:rPr>
          <w:u w:val="single"/>
          <w:lang w:val="fr-FR"/>
        </w:rPr>
      </w:pPr>
    </w:p>
    <w:p w14:paraId="1B26B663" w14:textId="77777777" w:rsidR="00B15BBA" w:rsidRPr="00F55BDF" w:rsidRDefault="00B15BBA" w:rsidP="00B15BBA">
      <w:pPr>
        <w:pStyle w:val="ListParagraph"/>
        <w:numPr>
          <w:ilvl w:val="0"/>
          <w:numId w:val="2"/>
        </w:numPr>
        <w:spacing w:before="0" w:after="0" w:line="240" w:lineRule="auto"/>
        <w:jc w:val="both"/>
        <w:rPr>
          <w:rFonts w:cstheme="minorHAnsi"/>
          <w:i/>
          <w:lang w:val="fr-FR"/>
        </w:rPr>
      </w:pPr>
      <w:r w:rsidRPr="00F55BDF">
        <w:rPr>
          <w:rFonts w:cstheme="minorHAnsi"/>
          <w:i/>
          <w:lang w:val="fr-FR"/>
        </w:rPr>
        <w:t>Baseline (valeur début d’année en cours = valeur cumulée fin année N-1) : 0</w:t>
      </w:r>
    </w:p>
    <w:p w14:paraId="372FA44B" w14:textId="020E3B3C" w:rsidR="00B15BBA" w:rsidRPr="00F55BDF" w:rsidRDefault="00B15BBA" w:rsidP="00B15BBA">
      <w:pPr>
        <w:pStyle w:val="ListParagraph"/>
        <w:numPr>
          <w:ilvl w:val="0"/>
          <w:numId w:val="2"/>
        </w:numPr>
        <w:spacing w:before="0" w:after="0" w:line="240" w:lineRule="auto"/>
        <w:jc w:val="both"/>
        <w:rPr>
          <w:rFonts w:cstheme="minorHAnsi"/>
          <w:lang w:val="fr-FR"/>
        </w:rPr>
      </w:pPr>
      <w:proofErr w:type="gramStart"/>
      <w:r w:rsidRPr="00F55BDF">
        <w:rPr>
          <w:rFonts w:cstheme="minorHAnsi"/>
          <w:i/>
          <w:lang w:val="fr-FR"/>
        </w:rPr>
        <w:t>Cible fin</w:t>
      </w:r>
      <w:proofErr w:type="gramEnd"/>
      <w:r w:rsidRPr="00F55BDF">
        <w:rPr>
          <w:rFonts w:cstheme="minorHAnsi"/>
          <w:i/>
          <w:lang w:val="fr-FR"/>
        </w:rPr>
        <w:t xml:space="preserve"> d’année</w:t>
      </w:r>
      <w:r w:rsidRPr="00F55BDF">
        <w:rPr>
          <w:rFonts w:cstheme="minorHAnsi"/>
          <w:lang w:val="fr-FR"/>
        </w:rPr>
        <w:t xml:space="preserve"> : non précisé</w:t>
      </w:r>
      <w:r w:rsidR="00C01D12" w:rsidRPr="00F55BDF">
        <w:rPr>
          <w:rFonts w:cstheme="minorHAnsi"/>
          <w:lang w:val="fr-FR"/>
        </w:rPr>
        <w:t xml:space="preserve">. </w:t>
      </w:r>
    </w:p>
    <w:p w14:paraId="39BEB128" w14:textId="75D86D8D" w:rsidR="00B15BBA" w:rsidRPr="00F55BDF" w:rsidRDefault="00B15BBA" w:rsidP="00B15BBA">
      <w:pPr>
        <w:pStyle w:val="ListParagraph"/>
        <w:numPr>
          <w:ilvl w:val="0"/>
          <w:numId w:val="2"/>
        </w:numPr>
        <w:spacing w:before="0" w:after="0" w:line="240" w:lineRule="auto"/>
        <w:jc w:val="both"/>
        <w:rPr>
          <w:rFonts w:cstheme="minorHAnsi"/>
          <w:lang w:val="fr-FR"/>
        </w:rPr>
      </w:pPr>
      <w:r w:rsidRPr="00F55BDF">
        <w:rPr>
          <w:rFonts w:cstheme="minorHAnsi"/>
          <w:i/>
          <w:lang w:val="fr-FR"/>
        </w:rPr>
        <w:lastRenderedPageBreak/>
        <w:t>Réalisation</w:t>
      </w:r>
      <w:r w:rsidRPr="00F55BDF">
        <w:rPr>
          <w:rFonts w:cstheme="minorHAnsi"/>
          <w:lang w:val="fr-FR"/>
        </w:rPr>
        <w:t xml:space="preserve"> (de l’année) + % d’avancement vers la cible de l’année : </w:t>
      </w:r>
      <w:r w:rsidR="0032098A">
        <w:rPr>
          <w:rFonts w:cstheme="minorHAnsi"/>
          <w:lang w:val="fr-FR"/>
        </w:rPr>
        <w:t xml:space="preserve">972 </w:t>
      </w:r>
      <w:bookmarkStart w:id="7" w:name="_GoBack"/>
      <w:bookmarkEnd w:id="7"/>
    </w:p>
    <w:p w14:paraId="6889A04A" w14:textId="77777777" w:rsidR="00B15BBA" w:rsidRPr="00F55BDF" w:rsidRDefault="00B15BBA" w:rsidP="00B15BBA">
      <w:pPr>
        <w:pStyle w:val="ListParagraph"/>
        <w:numPr>
          <w:ilvl w:val="0"/>
          <w:numId w:val="2"/>
        </w:numPr>
        <w:spacing w:before="0" w:after="0" w:line="240" w:lineRule="auto"/>
        <w:jc w:val="both"/>
        <w:rPr>
          <w:rFonts w:cstheme="minorHAnsi"/>
          <w:i/>
          <w:lang w:val="fr-FR"/>
        </w:rPr>
      </w:pPr>
      <w:r w:rsidRPr="00F55BDF">
        <w:rPr>
          <w:rFonts w:cstheme="minorHAnsi"/>
          <w:i/>
          <w:lang w:val="fr-FR"/>
        </w:rPr>
        <w:t xml:space="preserve">Commentaires et explications par rapport aux indicateurs </w:t>
      </w:r>
      <w:proofErr w:type="spellStart"/>
      <w:r w:rsidRPr="00F55BDF">
        <w:rPr>
          <w:rFonts w:cstheme="minorHAnsi"/>
          <w:i/>
          <w:lang w:val="fr-FR"/>
        </w:rPr>
        <w:t>sus-mentionnés</w:t>
      </w:r>
      <w:proofErr w:type="spellEnd"/>
      <w:r w:rsidRPr="00F55BDF">
        <w:rPr>
          <w:rFonts w:cstheme="minorHAnsi"/>
          <w:i/>
          <w:lang w:val="fr-FR"/>
        </w:rPr>
        <w:t xml:space="preserve"> : si la cible a été atteinte dire quels ont été les facteurs de succès, dans le cas contraire dire quelles ont été les contraintes/lacunes.</w:t>
      </w:r>
    </w:p>
    <w:bookmarkEnd w:id="6"/>
    <w:p w14:paraId="02D72375" w14:textId="77777777" w:rsidR="00B15BBA" w:rsidRPr="00F55BDF" w:rsidRDefault="00B15BBA" w:rsidP="00B15BBA">
      <w:pPr>
        <w:spacing w:after="0" w:line="240" w:lineRule="auto"/>
        <w:jc w:val="both"/>
        <w:rPr>
          <w:rFonts w:cstheme="minorHAnsi"/>
        </w:rPr>
      </w:pPr>
    </w:p>
    <w:p w14:paraId="373BCB71" w14:textId="2C5C3433" w:rsidR="00780049" w:rsidRPr="00F55BDF" w:rsidRDefault="00B15BBA" w:rsidP="00B15BBA">
      <w:pPr>
        <w:spacing w:after="0" w:line="240" w:lineRule="auto"/>
        <w:jc w:val="both"/>
        <w:rPr>
          <w:rFonts w:cstheme="minorHAnsi"/>
        </w:rPr>
      </w:pPr>
      <w:r w:rsidRPr="00F55BDF">
        <w:rPr>
          <w:rFonts w:cstheme="minorHAnsi"/>
        </w:rPr>
        <w:t xml:space="preserve">Il est à noter que même si indirectement le projet peut contribuer à cet indicateur du programme de pays du PNUD, la création d’emploi verts n’est pas un objectif du projet en soi. </w:t>
      </w:r>
      <w:r w:rsidR="00780049" w:rsidRPr="00F55BDF">
        <w:rPr>
          <w:rFonts w:cstheme="minorHAnsi"/>
        </w:rPr>
        <w:t xml:space="preserve">En 2018, </w:t>
      </w:r>
      <w:r w:rsidRPr="00F55BDF">
        <w:rPr>
          <w:rFonts w:cstheme="minorHAnsi"/>
        </w:rPr>
        <w:t>il n’y a pas de compréhension commune sur la définition d’un emploi vert dans le cas du projet APAA</w:t>
      </w:r>
      <w:r w:rsidR="00B6577F" w:rsidRPr="00F55BDF">
        <w:rPr>
          <w:rFonts w:cstheme="minorHAnsi"/>
        </w:rPr>
        <w:t>. La définition prise</w:t>
      </w:r>
      <w:r w:rsidR="00780049" w:rsidRPr="00F55BDF">
        <w:rPr>
          <w:rFonts w:cstheme="minorHAnsi"/>
        </w:rPr>
        <w:t xml:space="preserve"> dans le Plan de suivi – évaluation du projet mis à jour de 2019 est : </w:t>
      </w:r>
      <w:r w:rsidR="00780049" w:rsidRPr="00F55BDF">
        <w:rPr>
          <w:rFonts w:cstheme="minorHAnsi"/>
          <w:i/>
          <w:iCs/>
        </w:rPr>
        <w:t>« emplois verts</w:t>
      </w:r>
      <w:r w:rsidR="00C01D12" w:rsidRPr="00F55BDF">
        <w:rPr>
          <w:rFonts w:cstheme="minorHAnsi"/>
          <w:i/>
          <w:iCs/>
        </w:rPr>
        <w:t xml:space="preserve"> </w:t>
      </w:r>
      <w:r w:rsidR="00780049" w:rsidRPr="00F55BDF">
        <w:rPr>
          <w:rFonts w:cstheme="minorHAnsi"/>
          <w:i/>
          <w:iCs/>
        </w:rPr>
        <w:t xml:space="preserve">: emplois sur la base de la conservation des Ressources Naturelles, indirectement crée </w:t>
      </w:r>
      <w:r w:rsidR="00C01D12" w:rsidRPr="00F55BDF">
        <w:rPr>
          <w:rFonts w:cstheme="minorHAnsi"/>
          <w:i/>
          <w:iCs/>
        </w:rPr>
        <w:t>à la suite des</w:t>
      </w:r>
      <w:r w:rsidR="00780049" w:rsidRPr="00F55BDF">
        <w:rPr>
          <w:rFonts w:cstheme="minorHAnsi"/>
          <w:i/>
          <w:iCs/>
        </w:rPr>
        <w:t xml:space="preserve"> actions de conservation, transformation d'un emploi nuisible à la biodiversité à un emploi durable et qui ne nuit pas à la biodiversité »</w:t>
      </w:r>
      <w:r w:rsidR="00780049" w:rsidRPr="00F55BDF">
        <w:rPr>
          <w:rFonts w:cstheme="minorHAnsi"/>
        </w:rPr>
        <w:t xml:space="preserve">. </w:t>
      </w:r>
      <w:r w:rsidR="00B6577F" w:rsidRPr="00F55BDF">
        <w:rPr>
          <w:rFonts w:cstheme="minorHAnsi"/>
        </w:rPr>
        <w:t xml:space="preserve"> </w:t>
      </w:r>
    </w:p>
    <w:p w14:paraId="1277FA8D" w14:textId="6A6FCC11" w:rsidR="00B15BBA" w:rsidRPr="00F55BDF" w:rsidRDefault="00780049" w:rsidP="00B15BBA">
      <w:pPr>
        <w:spacing w:after="0" w:line="240" w:lineRule="auto"/>
        <w:jc w:val="both"/>
        <w:rPr>
          <w:rFonts w:cstheme="minorHAnsi"/>
        </w:rPr>
      </w:pPr>
      <w:r w:rsidRPr="00F55BDF">
        <w:rPr>
          <w:rFonts w:cstheme="minorHAnsi"/>
        </w:rPr>
        <w:t>Il est à noter que le rapport de l</w:t>
      </w:r>
      <w:r w:rsidR="00B6577F" w:rsidRPr="00F55BDF">
        <w:rPr>
          <w:rFonts w:cstheme="minorHAnsi"/>
        </w:rPr>
        <w:t>’évaluation à mi-parcours du projet a aussi soulevé ces définitions imprécises des indicateurs établis dans le doc-pro et recommande</w:t>
      </w:r>
      <w:r w:rsidRPr="00F55BDF">
        <w:rPr>
          <w:rFonts w:cstheme="minorHAnsi"/>
        </w:rPr>
        <w:t xml:space="preserve"> </w:t>
      </w:r>
      <w:r w:rsidRPr="00F55BDF">
        <w:rPr>
          <w:rFonts w:cstheme="minorHAnsi"/>
          <w:i/>
          <w:iCs/>
        </w:rPr>
        <w:t>« l’utilisation systématique des mêmes indicateurs et d’un cadre logique unique »</w:t>
      </w:r>
      <w:r w:rsidRPr="00F55BDF">
        <w:rPr>
          <w:rFonts w:cstheme="minorHAnsi"/>
        </w:rPr>
        <w:t>.</w:t>
      </w:r>
      <w:r w:rsidRPr="00F55BDF">
        <w:rPr>
          <w:rStyle w:val="FootnoteReference"/>
          <w:rFonts w:cstheme="minorHAnsi"/>
        </w:rPr>
        <w:footnoteReference w:id="1"/>
      </w:r>
      <w:r w:rsidRPr="00F55BDF">
        <w:rPr>
          <w:rFonts w:cstheme="minorHAnsi"/>
        </w:rPr>
        <w:t xml:space="preserve"> </w:t>
      </w:r>
      <w:r w:rsidR="00B6577F" w:rsidRPr="00F55BDF">
        <w:rPr>
          <w:rFonts w:cstheme="minorHAnsi"/>
        </w:rPr>
        <w:t xml:space="preserve"> </w:t>
      </w:r>
    </w:p>
    <w:p w14:paraId="17B973D3" w14:textId="1C76EA2C" w:rsidR="0065773F" w:rsidRPr="00F55BDF" w:rsidRDefault="0032098A" w:rsidP="00256D4D">
      <w:pPr>
        <w:spacing w:after="0" w:line="240" w:lineRule="auto"/>
        <w:jc w:val="both"/>
      </w:pPr>
      <w:r w:rsidRPr="004F2DAB">
        <w:rPr>
          <w:bCs/>
        </w:rPr>
        <w:t>Pour 2019, le nombre d’emploi vert créé est de (i) 948 pour les travaux dans les pépinières, à savoir : femmes jeunes : 398 ; femmes non jeunes : 171 ; hommes jeunes : 265 ; hommes non jeunes : 114 ; (ii) 24 ; à savoir : 19 pour l’apiculture (17 femmes non jeunes et 2 femmes jeunes) et 5 pépiniéristes producteurs de jeunes plants (4 hommes dont 02 jeunes et 02 non jeunes et 1 femme jeune). Soit un total de 972</w:t>
      </w:r>
      <w:proofErr w:type="gramStart"/>
      <w:r w:rsidRPr="004F2DAB">
        <w:rPr>
          <w:bCs/>
        </w:rPr>
        <w:t>.</w:t>
      </w:r>
      <w:r w:rsidRPr="0032098A">
        <w:rPr>
          <w:b/>
        </w:rPr>
        <w:t xml:space="preserve"> </w:t>
      </w:r>
      <w:r w:rsidR="008A6D7D" w:rsidRPr="00882CA6">
        <w:rPr>
          <w:b/>
        </w:rPr>
        <w:t>.</w:t>
      </w:r>
      <w:proofErr w:type="gramEnd"/>
      <w:r w:rsidR="008A6D7D" w:rsidRPr="00F55BDF">
        <w:t xml:space="preserve"> </w:t>
      </w:r>
      <w:r w:rsidR="0065773F" w:rsidRPr="00F55BDF">
        <w:t xml:space="preserve">Il est à noter que le processus de création des emplois verts comprend plusieurs phases dont la formation et l’équipement en matériels des communautés locales. C’est surtout dans cette phase là que le projet a le plus travailler.  Ainsi, pour fin 2019, le projet a formé 305 personnes dont 159 jeunes et 146 femmes et 19 femmes sont équipées en matériels. </w:t>
      </w:r>
    </w:p>
    <w:p w14:paraId="18FDA394" w14:textId="12B99320" w:rsidR="005A7BF6" w:rsidRPr="00F55BDF" w:rsidRDefault="008A6D7D" w:rsidP="00256D4D">
      <w:pPr>
        <w:spacing w:after="0" w:line="240" w:lineRule="auto"/>
        <w:jc w:val="both"/>
        <w:rPr>
          <w:iCs/>
        </w:rPr>
      </w:pPr>
      <w:r w:rsidRPr="00F55BDF">
        <w:t xml:space="preserve">Pour l’année 2020, l’indicateur pour le nombre d’emplois verts créer </w:t>
      </w:r>
      <w:r w:rsidR="000C4A9E" w:rsidRPr="00F55BDF">
        <w:t xml:space="preserve">à la fin 2020 </w:t>
      </w:r>
      <w:r w:rsidRPr="00F55BDF">
        <w:t>est à d</w:t>
      </w:r>
      <w:r w:rsidR="000C4A9E" w:rsidRPr="00F55BDF">
        <w:t>éterminer</w:t>
      </w:r>
      <w:r w:rsidR="0065773F" w:rsidRPr="00F55BDF">
        <w:t xml:space="preserve"> dès le début de l’année</w:t>
      </w:r>
      <w:r w:rsidR="000C4A9E" w:rsidRPr="00F55BDF">
        <w:t xml:space="preserve">. Dans la mise en œuvre du plan de suivi du projet, une </w:t>
      </w:r>
      <w:r w:rsidR="000C4A9E" w:rsidRPr="00F55BDF">
        <w:rPr>
          <w:rFonts w:ascii="Calibri" w:eastAsia="Calibri" w:hAnsi="Calibri" w:cs="Times New Roman"/>
        </w:rPr>
        <w:t xml:space="preserve">évaluation indépendante pour valider le </w:t>
      </w:r>
      <w:r w:rsidR="000C4A9E" w:rsidRPr="00F55BDF">
        <w:rPr>
          <w:rFonts w:ascii="Calibri" w:eastAsia="Calibri" w:hAnsi="Calibri" w:cs="Times New Roman"/>
          <w:i/>
        </w:rPr>
        <w:t>Nombre d'emplois verts créés grâce au projet pour les populations vulnérables</w:t>
      </w:r>
      <w:r w:rsidR="000C4A9E" w:rsidRPr="00F55BDF">
        <w:rPr>
          <w:rFonts w:ascii="Calibri" w:eastAsia="Calibri" w:hAnsi="Calibri" w:cs="Times New Roman"/>
          <w:iCs/>
        </w:rPr>
        <w:t xml:space="preserve"> est planifié pour fin 2020. La recommandation « R8 » de l’évaluation à mi-parcours du projet dans la partie « Aspects socio-économiques / durabilité » stipule aussi de « </w:t>
      </w:r>
      <w:r w:rsidR="000C4A9E" w:rsidRPr="00F55BDF">
        <w:rPr>
          <w:rFonts w:ascii="Calibri" w:eastAsia="Calibri" w:hAnsi="Calibri" w:cs="Times New Roman"/>
          <w:i/>
        </w:rPr>
        <w:t>commencer les activités liées aux activités économiques et villages écologiques au plus vite et de manière substantielle. Choisir des activités économiques réalistes, durables et stratégiques </w:t>
      </w:r>
      <w:r w:rsidR="000C4A9E" w:rsidRPr="00F55BDF">
        <w:rPr>
          <w:rFonts w:ascii="Calibri" w:eastAsia="Calibri" w:hAnsi="Calibri" w:cs="Times New Roman"/>
          <w:iCs/>
        </w:rPr>
        <w:t>»</w:t>
      </w:r>
      <w:r w:rsidR="000C4A9E" w:rsidRPr="00F55BDF">
        <w:rPr>
          <w:rStyle w:val="FootnoteReference"/>
          <w:rFonts w:ascii="Calibri" w:eastAsia="Calibri" w:hAnsi="Calibri" w:cs="Times New Roman"/>
          <w:iCs/>
        </w:rPr>
        <w:footnoteReference w:id="2"/>
      </w:r>
      <w:r w:rsidR="000C4A9E" w:rsidRPr="00F55BDF">
        <w:rPr>
          <w:rFonts w:ascii="Calibri" w:eastAsia="Calibri" w:hAnsi="Calibri" w:cs="Times New Roman"/>
          <w:iCs/>
        </w:rPr>
        <w:t>. La mise en place de</w:t>
      </w:r>
      <w:r w:rsidR="0065773F" w:rsidRPr="00F55BDF">
        <w:rPr>
          <w:rFonts w:ascii="Calibri" w:eastAsia="Calibri" w:hAnsi="Calibri" w:cs="Times New Roman"/>
          <w:iCs/>
        </w:rPr>
        <w:t xml:space="preserve"> 07 villages écologiques autour des 07 APC est planifiée dans le PTA 2020 du projet. </w:t>
      </w:r>
      <w:r w:rsidR="000E308A" w:rsidRPr="00F55BDF">
        <w:rPr>
          <w:rFonts w:ascii="Calibri" w:eastAsia="Calibri" w:hAnsi="Calibri" w:cs="Times New Roman"/>
          <w:iCs/>
        </w:rPr>
        <w:t xml:space="preserve">Les différentes composantes du processus contribuent dans la création d’emplois verts dans les zones d’intervention autour des 07 APC. </w:t>
      </w:r>
      <w:r w:rsidR="0065773F" w:rsidRPr="00F55BDF">
        <w:rPr>
          <w:rFonts w:ascii="Calibri" w:eastAsia="Calibri" w:hAnsi="Calibri" w:cs="Times New Roman"/>
          <w:iCs/>
        </w:rPr>
        <w:t xml:space="preserve">La collaboration avec le projet PDSPE est mise en exergue dans cet élan. </w:t>
      </w:r>
      <w:r w:rsidR="000E308A" w:rsidRPr="00F55BDF">
        <w:rPr>
          <w:rFonts w:ascii="Calibri" w:eastAsia="Calibri" w:hAnsi="Calibri" w:cs="Times New Roman"/>
          <w:iCs/>
        </w:rPr>
        <w:t>Une collaboration avec la Plateforme Régionale d’Echange sur l’Energie de Biomasse (P</w:t>
      </w:r>
      <w:r w:rsidR="007414AE">
        <w:rPr>
          <w:rFonts w:ascii="Calibri" w:eastAsia="Calibri" w:hAnsi="Calibri" w:cs="Times New Roman"/>
          <w:iCs/>
        </w:rPr>
        <w:t>RE</w:t>
      </w:r>
      <w:r w:rsidR="000E308A" w:rsidRPr="00F55BDF">
        <w:rPr>
          <w:rFonts w:ascii="Calibri" w:eastAsia="Calibri" w:hAnsi="Calibri" w:cs="Times New Roman"/>
          <w:iCs/>
        </w:rPr>
        <w:t xml:space="preserve">EB) </w:t>
      </w:r>
      <w:proofErr w:type="spellStart"/>
      <w:r w:rsidR="000E308A" w:rsidRPr="00F55BDF">
        <w:rPr>
          <w:rFonts w:ascii="Calibri" w:eastAsia="Calibri" w:hAnsi="Calibri" w:cs="Times New Roman"/>
          <w:iCs/>
        </w:rPr>
        <w:t>Atsimo</w:t>
      </w:r>
      <w:proofErr w:type="spellEnd"/>
      <w:r w:rsidR="000E308A" w:rsidRPr="00F55BDF">
        <w:rPr>
          <w:rFonts w:ascii="Calibri" w:eastAsia="Calibri" w:hAnsi="Calibri" w:cs="Times New Roman"/>
          <w:iCs/>
        </w:rPr>
        <w:t xml:space="preserve"> </w:t>
      </w:r>
      <w:proofErr w:type="spellStart"/>
      <w:r w:rsidR="000E308A" w:rsidRPr="00F55BDF">
        <w:rPr>
          <w:rFonts w:ascii="Calibri" w:eastAsia="Calibri" w:hAnsi="Calibri" w:cs="Times New Roman"/>
          <w:iCs/>
        </w:rPr>
        <w:t>Andrefana</w:t>
      </w:r>
      <w:proofErr w:type="spellEnd"/>
      <w:r w:rsidR="000E308A" w:rsidRPr="00F55BDF">
        <w:rPr>
          <w:rFonts w:ascii="Calibri" w:eastAsia="Calibri" w:hAnsi="Calibri" w:cs="Times New Roman"/>
          <w:iCs/>
        </w:rPr>
        <w:t xml:space="preserve"> est à concrétiser pour 2020 afin de développer la production des charbons verts par les anciens producteurs de charbon de bois vivant autour des APC. </w:t>
      </w:r>
    </w:p>
    <w:p w14:paraId="62B7E208" w14:textId="77777777" w:rsidR="005A7BF6" w:rsidRPr="00F55BDF" w:rsidRDefault="005A7BF6" w:rsidP="00256D4D">
      <w:pPr>
        <w:spacing w:after="0" w:line="240" w:lineRule="auto"/>
        <w:jc w:val="both"/>
      </w:pPr>
    </w:p>
    <w:p w14:paraId="5C475599" w14:textId="4C42901B" w:rsidR="003E66AB" w:rsidRPr="00F55BDF" w:rsidRDefault="003E66AB" w:rsidP="00204E92">
      <w:pPr>
        <w:pStyle w:val="ListParagraph"/>
        <w:numPr>
          <w:ilvl w:val="0"/>
          <w:numId w:val="6"/>
        </w:numPr>
        <w:rPr>
          <w:b/>
          <w:u w:val="single"/>
          <w:lang w:val="fr-FR"/>
        </w:rPr>
      </w:pPr>
      <w:r w:rsidRPr="00F55BDF">
        <w:rPr>
          <w:b/>
          <w:u w:val="single"/>
          <w:lang w:val="fr-FR"/>
        </w:rPr>
        <w:t>Spécifier les groupes cibles et les zones d’intervention</w:t>
      </w:r>
      <w:r w:rsidR="00FB342D" w:rsidRPr="00F55BDF">
        <w:rPr>
          <w:b/>
          <w:u w:val="single"/>
          <w:lang w:val="fr-FR"/>
        </w:rPr>
        <w:t> :</w:t>
      </w:r>
    </w:p>
    <w:p w14:paraId="309F3F51" w14:textId="684CC24B" w:rsidR="00686581" w:rsidRPr="00F55BDF" w:rsidRDefault="00686581" w:rsidP="00256D4D">
      <w:pPr>
        <w:pStyle w:val="ListParagraph"/>
        <w:rPr>
          <w:b/>
          <w:lang w:val="fr-FR"/>
        </w:rPr>
      </w:pPr>
    </w:p>
    <w:tbl>
      <w:tblPr>
        <w:tblStyle w:val="TableGrid"/>
        <w:tblW w:w="9781" w:type="dxa"/>
        <w:tblInd w:w="-5" w:type="dxa"/>
        <w:tblLook w:val="04A0" w:firstRow="1" w:lastRow="0" w:firstColumn="1" w:lastColumn="0" w:noHBand="0" w:noVBand="1"/>
      </w:tblPr>
      <w:tblGrid>
        <w:gridCol w:w="2840"/>
        <w:gridCol w:w="2066"/>
        <w:gridCol w:w="2095"/>
        <w:gridCol w:w="2780"/>
      </w:tblGrid>
      <w:tr w:rsidR="001B7324" w:rsidRPr="00F55BDF" w14:paraId="674ADC81" w14:textId="77777777" w:rsidTr="00887DF2">
        <w:trPr>
          <w:trHeight w:val="803"/>
        </w:trPr>
        <w:tc>
          <w:tcPr>
            <w:tcW w:w="2840" w:type="dxa"/>
            <w:vAlign w:val="center"/>
          </w:tcPr>
          <w:p w14:paraId="5D464ED6" w14:textId="77777777" w:rsidR="005728A0" w:rsidRPr="00F55BDF" w:rsidRDefault="005728A0" w:rsidP="00A331FA">
            <w:pPr>
              <w:pStyle w:val="ListParagraph"/>
              <w:ind w:left="0"/>
              <w:rPr>
                <w:rFonts w:cstheme="minorHAnsi"/>
                <w:b/>
                <w:sz w:val="20"/>
                <w:szCs w:val="20"/>
                <w:lang w:val="fr-FR"/>
              </w:rPr>
            </w:pPr>
            <w:r w:rsidRPr="00F55BDF">
              <w:rPr>
                <w:rFonts w:cstheme="minorHAnsi"/>
                <w:b/>
                <w:sz w:val="20"/>
                <w:szCs w:val="20"/>
                <w:lang w:val="fr-FR"/>
              </w:rPr>
              <w:t>Domaines d’intervention</w:t>
            </w:r>
          </w:p>
        </w:tc>
        <w:tc>
          <w:tcPr>
            <w:tcW w:w="2066" w:type="dxa"/>
            <w:vAlign w:val="center"/>
          </w:tcPr>
          <w:p w14:paraId="6D4B4DCB" w14:textId="77777777" w:rsidR="005728A0" w:rsidRPr="00F55BDF" w:rsidRDefault="005728A0" w:rsidP="00A331FA">
            <w:pPr>
              <w:pStyle w:val="ListParagraph"/>
              <w:ind w:left="0"/>
              <w:rPr>
                <w:rFonts w:cstheme="minorHAnsi"/>
                <w:b/>
                <w:sz w:val="20"/>
                <w:szCs w:val="20"/>
                <w:lang w:val="fr-FR"/>
              </w:rPr>
            </w:pPr>
            <w:r w:rsidRPr="00F55BDF">
              <w:rPr>
                <w:rFonts w:cstheme="minorHAnsi"/>
                <w:b/>
                <w:sz w:val="20"/>
                <w:szCs w:val="20"/>
                <w:lang w:val="fr-FR"/>
              </w:rPr>
              <w:t>Zones d’intervention</w:t>
            </w:r>
          </w:p>
        </w:tc>
        <w:tc>
          <w:tcPr>
            <w:tcW w:w="2095" w:type="dxa"/>
            <w:vAlign w:val="center"/>
          </w:tcPr>
          <w:p w14:paraId="7CF44DB8" w14:textId="77777777" w:rsidR="005728A0" w:rsidRPr="00F55BDF" w:rsidRDefault="005728A0" w:rsidP="00A331FA">
            <w:pPr>
              <w:pStyle w:val="ListParagraph"/>
              <w:ind w:left="0"/>
              <w:rPr>
                <w:rFonts w:cstheme="minorHAnsi"/>
                <w:b/>
                <w:sz w:val="20"/>
                <w:szCs w:val="20"/>
                <w:lang w:val="fr-FR"/>
              </w:rPr>
            </w:pPr>
            <w:r w:rsidRPr="00F55BDF">
              <w:rPr>
                <w:rFonts w:cstheme="minorHAnsi"/>
                <w:b/>
                <w:sz w:val="20"/>
                <w:szCs w:val="20"/>
                <w:lang w:val="fr-FR"/>
              </w:rPr>
              <w:t>Groupes cibles</w:t>
            </w:r>
          </w:p>
        </w:tc>
        <w:tc>
          <w:tcPr>
            <w:tcW w:w="2780" w:type="dxa"/>
            <w:vAlign w:val="center"/>
          </w:tcPr>
          <w:p w14:paraId="4356781E" w14:textId="77777777" w:rsidR="005728A0" w:rsidRPr="00F55BDF" w:rsidRDefault="005728A0" w:rsidP="00A331FA">
            <w:pPr>
              <w:pStyle w:val="ListParagraph"/>
              <w:ind w:left="0"/>
              <w:rPr>
                <w:rFonts w:cstheme="minorHAnsi"/>
                <w:b/>
                <w:sz w:val="20"/>
                <w:szCs w:val="20"/>
                <w:lang w:val="fr-FR"/>
              </w:rPr>
            </w:pPr>
            <w:r w:rsidRPr="00F55BDF">
              <w:rPr>
                <w:rFonts w:cstheme="minorHAnsi"/>
                <w:b/>
                <w:sz w:val="20"/>
                <w:szCs w:val="20"/>
                <w:lang w:val="fr-FR"/>
              </w:rPr>
              <w:t>Observations (nombre de bénéficiaires, …)</w:t>
            </w:r>
          </w:p>
        </w:tc>
      </w:tr>
      <w:tr w:rsidR="001B7324" w:rsidRPr="00F55BDF" w14:paraId="0829040A" w14:textId="77777777" w:rsidTr="00887DF2">
        <w:tc>
          <w:tcPr>
            <w:tcW w:w="2840" w:type="dxa"/>
            <w:vAlign w:val="center"/>
          </w:tcPr>
          <w:p w14:paraId="040C7101" w14:textId="616D882F" w:rsidR="005728A0" w:rsidRPr="00F55BDF" w:rsidRDefault="00BF1172" w:rsidP="00C04C8D">
            <w:pPr>
              <w:pStyle w:val="ListParagraph"/>
              <w:spacing w:before="0" w:after="0"/>
              <w:ind w:left="0"/>
              <w:rPr>
                <w:rFonts w:cstheme="minorHAnsi"/>
                <w:sz w:val="20"/>
                <w:szCs w:val="20"/>
                <w:lang w:val="fr-FR"/>
              </w:rPr>
            </w:pPr>
            <w:r w:rsidRPr="00F55BDF">
              <w:rPr>
                <w:rFonts w:cstheme="minorHAnsi"/>
                <w:sz w:val="20"/>
                <w:szCs w:val="20"/>
                <w:lang w:val="fr-FR"/>
              </w:rPr>
              <w:t xml:space="preserve">Création et </w:t>
            </w:r>
            <w:r w:rsidR="005728A0" w:rsidRPr="00F55BDF">
              <w:rPr>
                <w:rFonts w:cstheme="minorHAnsi"/>
                <w:sz w:val="20"/>
                <w:szCs w:val="20"/>
                <w:lang w:val="fr-FR"/>
              </w:rPr>
              <w:t xml:space="preserve">Gestion des </w:t>
            </w:r>
            <w:r w:rsidRPr="00F55BDF">
              <w:rPr>
                <w:rFonts w:cstheme="minorHAnsi"/>
                <w:sz w:val="20"/>
                <w:szCs w:val="20"/>
                <w:lang w:val="fr-FR"/>
              </w:rPr>
              <w:t>07 A</w:t>
            </w:r>
            <w:r w:rsidR="005728A0" w:rsidRPr="00F55BDF">
              <w:rPr>
                <w:rFonts w:cstheme="minorHAnsi"/>
                <w:sz w:val="20"/>
                <w:szCs w:val="20"/>
                <w:lang w:val="fr-FR"/>
              </w:rPr>
              <w:t xml:space="preserve">ires </w:t>
            </w:r>
            <w:r w:rsidRPr="00F55BDF">
              <w:rPr>
                <w:rFonts w:cstheme="minorHAnsi"/>
                <w:sz w:val="20"/>
                <w:szCs w:val="20"/>
                <w:lang w:val="fr-FR"/>
              </w:rPr>
              <w:t>P</w:t>
            </w:r>
            <w:r w:rsidR="005728A0" w:rsidRPr="00F55BDF">
              <w:rPr>
                <w:rFonts w:cstheme="minorHAnsi"/>
                <w:sz w:val="20"/>
                <w:szCs w:val="20"/>
                <w:lang w:val="fr-FR"/>
              </w:rPr>
              <w:t xml:space="preserve">rotégées </w:t>
            </w:r>
            <w:r w:rsidRPr="00F55BDF">
              <w:rPr>
                <w:rFonts w:cstheme="minorHAnsi"/>
                <w:sz w:val="20"/>
                <w:szCs w:val="20"/>
                <w:lang w:val="fr-FR"/>
              </w:rPr>
              <w:t>C</w:t>
            </w:r>
            <w:r w:rsidR="005728A0" w:rsidRPr="00F55BDF">
              <w:rPr>
                <w:rFonts w:cstheme="minorHAnsi"/>
                <w:sz w:val="20"/>
                <w:szCs w:val="20"/>
                <w:lang w:val="fr-FR"/>
              </w:rPr>
              <w:t>ommunautaires</w:t>
            </w:r>
            <w:r w:rsidRPr="00F55BDF">
              <w:rPr>
                <w:rFonts w:cstheme="minorHAnsi"/>
                <w:sz w:val="20"/>
                <w:szCs w:val="20"/>
                <w:lang w:val="fr-FR"/>
              </w:rPr>
              <w:t xml:space="preserve"> (APC)</w:t>
            </w:r>
          </w:p>
        </w:tc>
        <w:tc>
          <w:tcPr>
            <w:tcW w:w="2066" w:type="dxa"/>
            <w:vMerge w:val="restart"/>
            <w:vAlign w:val="center"/>
          </w:tcPr>
          <w:p w14:paraId="6C57DEAB" w14:textId="51F52BC6" w:rsidR="005728A0" w:rsidRPr="00F55BDF" w:rsidRDefault="00BF1172" w:rsidP="00BF1172">
            <w:pPr>
              <w:rPr>
                <w:rFonts w:cstheme="minorHAnsi"/>
                <w:sz w:val="20"/>
                <w:szCs w:val="20"/>
              </w:rPr>
            </w:pPr>
            <w:r w:rsidRPr="00F55BDF">
              <w:rPr>
                <w:rFonts w:cstheme="minorHAnsi"/>
                <w:sz w:val="20"/>
                <w:szCs w:val="20"/>
              </w:rPr>
              <w:t xml:space="preserve">-03 Districts : </w:t>
            </w:r>
            <w:proofErr w:type="spellStart"/>
            <w:r w:rsidRPr="00F55BDF">
              <w:rPr>
                <w:rFonts w:cstheme="minorHAnsi"/>
                <w:sz w:val="20"/>
                <w:szCs w:val="20"/>
              </w:rPr>
              <w:t>Morombe</w:t>
            </w:r>
            <w:proofErr w:type="spellEnd"/>
            <w:r w:rsidRPr="00F55BDF">
              <w:rPr>
                <w:rFonts w:cstheme="minorHAnsi"/>
                <w:sz w:val="20"/>
                <w:szCs w:val="20"/>
              </w:rPr>
              <w:t xml:space="preserve">, Toliara II et </w:t>
            </w:r>
            <w:proofErr w:type="spellStart"/>
            <w:r w:rsidRPr="00F55BDF">
              <w:rPr>
                <w:rFonts w:cstheme="minorHAnsi"/>
                <w:sz w:val="20"/>
                <w:szCs w:val="20"/>
              </w:rPr>
              <w:t>Betioky</w:t>
            </w:r>
            <w:proofErr w:type="spellEnd"/>
            <w:r w:rsidRPr="00F55BDF">
              <w:rPr>
                <w:rFonts w:cstheme="minorHAnsi"/>
                <w:sz w:val="20"/>
                <w:szCs w:val="20"/>
              </w:rPr>
              <w:t xml:space="preserve"> Sud.          - </w:t>
            </w:r>
            <w:r w:rsidR="005728A0" w:rsidRPr="00F55BDF">
              <w:rPr>
                <w:rFonts w:cstheme="minorHAnsi"/>
                <w:sz w:val="20"/>
                <w:szCs w:val="20"/>
              </w:rPr>
              <w:t>03 APC appuyées par TANY MEVA</w:t>
            </w:r>
          </w:p>
          <w:p w14:paraId="020645E1" w14:textId="77777777" w:rsidR="005728A0" w:rsidRPr="00F55BDF" w:rsidRDefault="005728A0" w:rsidP="00C04C8D">
            <w:pPr>
              <w:pStyle w:val="ListParagraph"/>
              <w:spacing w:before="0" w:after="0"/>
              <w:ind w:left="0"/>
              <w:rPr>
                <w:rFonts w:cstheme="minorHAnsi"/>
                <w:sz w:val="20"/>
                <w:szCs w:val="20"/>
                <w:lang w:val="fr-FR"/>
              </w:rPr>
            </w:pPr>
            <w:r w:rsidRPr="00F55BDF">
              <w:rPr>
                <w:rFonts w:cstheme="minorHAnsi"/>
                <w:sz w:val="20"/>
                <w:szCs w:val="20"/>
                <w:lang w:val="fr-FR"/>
              </w:rPr>
              <w:t xml:space="preserve">APC </w:t>
            </w:r>
            <w:proofErr w:type="spellStart"/>
            <w:r w:rsidRPr="00F55BDF">
              <w:rPr>
                <w:rFonts w:cstheme="minorHAnsi"/>
                <w:sz w:val="20"/>
                <w:szCs w:val="20"/>
                <w:lang w:val="fr-FR"/>
              </w:rPr>
              <w:t>Analamaitso</w:t>
            </w:r>
            <w:proofErr w:type="spellEnd"/>
            <w:r w:rsidRPr="00F55BDF">
              <w:rPr>
                <w:rFonts w:cstheme="minorHAnsi"/>
                <w:sz w:val="20"/>
                <w:szCs w:val="20"/>
                <w:lang w:val="fr-FR"/>
              </w:rPr>
              <w:t xml:space="preserve"> (</w:t>
            </w:r>
            <w:proofErr w:type="spellStart"/>
            <w:r w:rsidRPr="00F55BDF">
              <w:rPr>
                <w:rFonts w:cstheme="minorHAnsi"/>
                <w:sz w:val="20"/>
                <w:szCs w:val="20"/>
                <w:lang w:val="fr-FR"/>
              </w:rPr>
              <w:t>Ankiliabo</w:t>
            </w:r>
            <w:proofErr w:type="spellEnd"/>
            <w:r w:rsidRPr="00F55BDF">
              <w:rPr>
                <w:rFonts w:cstheme="minorHAnsi"/>
                <w:sz w:val="20"/>
                <w:szCs w:val="20"/>
                <w:lang w:val="fr-FR"/>
              </w:rPr>
              <w:t xml:space="preserve"> Cr </w:t>
            </w:r>
            <w:proofErr w:type="spellStart"/>
            <w:r w:rsidRPr="00F55BDF">
              <w:rPr>
                <w:rFonts w:cstheme="minorHAnsi"/>
                <w:sz w:val="20"/>
                <w:szCs w:val="20"/>
                <w:lang w:val="fr-FR"/>
              </w:rPr>
              <w:lastRenderedPageBreak/>
              <w:t>Ankililoaka</w:t>
            </w:r>
            <w:proofErr w:type="spellEnd"/>
            <w:r w:rsidRPr="00F55BDF">
              <w:rPr>
                <w:rFonts w:cstheme="minorHAnsi"/>
                <w:sz w:val="20"/>
                <w:szCs w:val="20"/>
                <w:lang w:val="fr-FR"/>
              </w:rPr>
              <w:t xml:space="preserve"> et </w:t>
            </w:r>
            <w:proofErr w:type="spellStart"/>
            <w:r w:rsidRPr="00F55BDF">
              <w:rPr>
                <w:rFonts w:cstheme="minorHAnsi"/>
                <w:sz w:val="20"/>
                <w:szCs w:val="20"/>
                <w:lang w:val="fr-FR"/>
              </w:rPr>
              <w:t>Milenaka</w:t>
            </w:r>
            <w:proofErr w:type="spellEnd"/>
            <w:r w:rsidRPr="00F55BDF">
              <w:rPr>
                <w:rFonts w:cstheme="minorHAnsi"/>
                <w:sz w:val="20"/>
                <w:szCs w:val="20"/>
                <w:lang w:val="fr-FR"/>
              </w:rPr>
              <w:t>)</w:t>
            </w:r>
          </w:p>
          <w:p w14:paraId="45B370AD" w14:textId="77777777" w:rsidR="005728A0" w:rsidRPr="00F55BDF" w:rsidRDefault="005728A0" w:rsidP="00C04C8D">
            <w:pPr>
              <w:pStyle w:val="ListParagraph"/>
              <w:spacing w:before="0" w:after="0"/>
              <w:ind w:left="0"/>
              <w:rPr>
                <w:rFonts w:cstheme="minorHAnsi"/>
                <w:sz w:val="20"/>
                <w:szCs w:val="20"/>
                <w:lang w:val="fr-FR"/>
              </w:rPr>
            </w:pPr>
            <w:r w:rsidRPr="00F55BDF">
              <w:rPr>
                <w:rFonts w:cstheme="minorHAnsi"/>
                <w:sz w:val="20"/>
                <w:szCs w:val="20"/>
                <w:lang w:val="fr-FR"/>
              </w:rPr>
              <w:t xml:space="preserve">APC Lovasoa (Cr </w:t>
            </w:r>
            <w:proofErr w:type="spellStart"/>
            <w:r w:rsidRPr="00F55BDF">
              <w:rPr>
                <w:rFonts w:cstheme="minorHAnsi"/>
                <w:sz w:val="20"/>
                <w:szCs w:val="20"/>
                <w:lang w:val="fr-FR"/>
              </w:rPr>
              <w:t>Antanimieva</w:t>
            </w:r>
            <w:proofErr w:type="spellEnd"/>
            <w:r w:rsidRPr="00F55BDF">
              <w:rPr>
                <w:rFonts w:cstheme="minorHAnsi"/>
                <w:sz w:val="20"/>
                <w:szCs w:val="20"/>
                <w:lang w:val="fr-FR"/>
              </w:rPr>
              <w:t xml:space="preserve"> – Sud de </w:t>
            </w:r>
            <w:proofErr w:type="spellStart"/>
            <w:r w:rsidRPr="00F55BDF">
              <w:rPr>
                <w:rFonts w:cstheme="minorHAnsi"/>
                <w:sz w:val="20"/>
                <w:szCs w:val="20"/>
                <w:lang w:val="fr-FR"/>
              </w:rPr>
              <w:t>Befandriana</w:t>
            </w:r>
            <w:proofErr w:type="spellEnd"/>
            <w:r w:rsidRPr="00F55BDF">
              <w:rPr>
                <w:rFonts w:cstheme="minorHAnsi"/>
                <w:sz w:val="20"/>
                <w:szCs w:val="20"/>
                <w:lang w:val="fr-FR"/>
              </w:rPr>
              <w:t>)</w:t>
            </w:r>
          </w:p>
          <w:p w14:paraId="0FF66F93" w14:textId="77777777" w:rsidR="005728A0" w:rsidRPr="00F55BDF" w:rsidRDefault="005728A0" w:rsidP="00C04C8D">
            <w:pPr>
              <w:pStyle w:val="ListParagraph"/>
              <w:spacing w:before="0" w:after="0"/>
              <w:ind w:left="0"/>
              <w:rPr>
                <w:rFonts w:cstheme="minorHAnsi"/>
                <w:sz w:val="20"/>
                <w:szCs w:val="20"/>
                <w:lang w:val="fr-FR"/>
              </w:rPr>
            </w:pPr>
            <w:r w:rsidRPr="00F55BDF">
              <w:rPr>
                <w:rFonts w:cstheme="minorHAnsi"/>
                <w:sz w:val="20"/>
                <w:szCs w:val="20"/>
                <w:lang w:val="fr-FR"/>
              </w:rPr>
              <w:t xml:space="preserve">APC </w:t>
            </w:r>
            <w:proofErr w:type="spellStart"/>
            <w:r w:rsidRPr="00F55BDF">
              <w:rPr>
                <w:rFonts w:cstheme="minorHAnsi"/>
                <w:sz w:val="20"/>
                <w:szCs w:val="20"/>
                <w:lang w:val="fr-FR"/>
              </w:rPr>
              <w:t>Miary</w:t>
            </w:r>
            <w:proofErr w:type="spellEnd"/>
            <w:r w:rsidRPr="00F55BDF">
              <w:rPr>
                <w:rFonts w:cstheme="minorHAnsi"/>
                <w:sz w:val="20"/>
                <w:szCs w:val="20"/>
                <w:lang w:val="fr-FR"/>
              </w:rPr>
              <w:t xml:space="preserve"> (Cr </w:t>
            </w:r>
            <w:proofErr w:type="spellStart"/>
            <w:r w:rsidRPr="00F55BDF">
              <w:rPr>
                <w:rFonts w:cstheme="minorHAnsi"/>
                <w:sz w:val="20"/>
                <w:szCs w:val="20"/>
                <w:lang w:val="fr-FR"/>
              </w:rPr>
              <w:t>Ankazombalala</w:t>
            </w:r>
            <w:proofErr w:type="spellEnd"/>
            <w:r w:rsidRPr="00F55BDF">
              <w:rPr>
                <w:rFonts w:cstheme="minorHAnsi"/>
                <w:sz w:val="20"/>
                <w:szCs w:val="20"/>
                <w:lang w:val="fr-FR"/>
              </w:rPr>
              <w:t>)</w:t>
            </w:r>
          </w:p>
          <w:p w14:paraId="7C2312E5" w14:textId="77777777" w:rsidR="005728A0" w:rsidRPr="00F55BDF" w:rsidRDefault="005728A0" w:rsidP="00C04C8D">
            <w:pPr>
              <w:pStyle w:val="ListParagraph"/>
              <w:spacing w:before="0" w:after="0"/>
              <w:ind w:left="0"/>
              <w:rPr>
                <w:rFonts w:cstheme="minorHAnsi"/>
                <w:sz w:val="20"/>
                <w:szCs w:val="20"/>
                <w:lang w:val="fr-FR"/>
              </w:rPr>
            </w:pPr>
          </w:p>
          <w:p w14:paraId="6898D9BE" w14:textId="77777777" w:rsidR="005728A0" w:rsidRPr="00F55BDF" w:rsidRDefault="005728A0" w:rsidP="00C04C8D">
            <w:pPr>
              <w:pStyle w:val="ListParagraph"/>
              <w:spacing w:before="0" w:after="0"/>
              <w:ind w:left="0"/>
              <w:rPr>
                <w:rFonts w:cstheme="minorHAnsi"/>
                <w:sz w:val="20"/>
                <w:szCs w:val="20"/>
                <w:lang w:val="fr-FR"/>
              </w:rPr>
            </w:pPr>
            <w:r w:rsidRPr="00F55BDF">
              <w:rPr>
                <w:rFonts w:cstheme="minorHAnsi"/>
                <w:sz w:val="20"/>
                <w:szCs w:val="20"/>
                <w:lang w:val="fr-FR"/>
              </w:rPr>
              <w:t>04 APC appuyées par SAGE</w:t>
            </w:r>
          </w:p>
          <w:p w14:paraId="4AE64648" w14:textId="77777777" w:rsidR="005728A0" w:rsidRPr="00F55BDF" w:rsidRDefault="005728A0" w:rsidP="00C04C8D">
            <w:pPr>
              <w:pStyle w:val="ListParagraph"/>
              <w:spacing w:before="0" w:after="0"/>
              <w:ind w:left="0"/>
              <w:rPr>
                <w:rFonts w:cstheme="minorHAnsi"/>
                <w:sz w:val="20"/>
                <w:szCs w:val="20"/>
                <w:lang w:val="fr-FR"/>
              </w:rPr>
            </w:pPr>
            <w:r w:rsidRPr="00F55BDF">
              <w:rPr>
                <w:rFonts w:cstheme="minorHAnsi"/>
                <w:sz w:val="20"/>
                <w:szCs w:val="20"/>
                <w:lang w:val="fr-FR"/>
              </w:rPr>
              <w:t xml:space="preserve">APC </w:t>
            </w:r>
            <w:proofErr w:type="spellStart"/>
            <w:r w:rsidRPr="00F55BDF">
              <w:rPr>
                <w:rFonts w:cstheme="minorHAnsi"/>
                <w:sz w:val="20"/>
                <w:szCs w:val="20"/>
                <w:lang w:val="fr-FR"/>
              </w:rPr>
              <w:t>Loharano</w:t>
            </w:r>
            <w:proofErr w:type="spellEnd"/>
            <w:r w:rsidRPr="00F55BDF">
              <w:rPr>
                <w:rFonts w:cstheme="minorHAnsi"/>
                <w:sz w:val="20"/>
                <w:szCs w:val="20"/>
                <w:lang w:val="fr-FR"/>
              </w:rPr>
              <w:t xml:space="preserve"> (</w:t>
            </w:r>
            <w:proofErr w:type="spellStart"/>
            <w:r w:rsidRPr="00F55BDF">
              <w:rPr>
                <w:rFonts w:cstheme="minorHAnsi"/>
                <w:sz w:val="20"/>
                <w:szCs w:val="20"/>
                <w:lang w:val="fr-FR"/>
              </w:rPr>
              <w:t>Fkt</w:t>
            </w:r>
            <w:proofErr w:type="spellEnd"/>
            <w:r w:rsidRPr="00F55BDF">
              <w:rPr>
                <w:rFonts w:cstheme="minorHAnsi"/>
                <w:sz w:val="20"/>
                <w:szCs w:val="20"/>
                <w:lang w:val="fr-FR"/>
              </w:rPr>
              <w:t xml:space="preserve"> </w:t>
            </w:r>
            <w:proofErr w:type="spellStart"/>
            <w:r w:rsidRPr="00F55BDF">
              <w:rPr>
                <w:rFonts w:cstheme="minorHAnsi"/>
                <w:sz w:val="20"/>
                <w:szCs w:val="20"/>
                <w:lang w:val="fr-FR"/>
              </w:rPr>
              <w:t>amboboka</w:t>
            </w:r>
            <w:proofErr w:type="spellEnd"/>
            <w:r w:rsidRPr="00F55BDF">
              <w:rPr>
                <w:rFonts w:cstheme="minorHAnsi"/>
                <w:sz w:val="20"/>
                <w:szCs w:val="20"/>
                <w:lang w:val="fr-FR"/>
              </w:rPr>
              <w:t xml:space="preserve"> – </w:t>
            </w:r>
            <w:proofErr w:type="spellStart"/>
            <w:r w:rsidRPr="00F55BDF">
              <w:rPr>
                <w:rFonts w:cstheme="minorHAnsi"/>
                <w:sz w:val="20"/>
                <w:szCs w:val="20"/>
                <w:lang w:val="fr-FR"/>
              </w:rPr>
              <w:t>Antanimena</w:t>
            </w:r>
            <w:proofErr w:type="spellEnd"/>
            <w:r w:rsidRPr="00F55BDF">
              <w:rPr>
                <w:rFonts w:cstheme="minorHAnsi"/>
                <w:sz w:val="20"/>
                <w:szCs w:val="20"/>
                <w:lang w:val="fr-FR"/>
              </w:rPr>
              <w:t xml:space="preserve"> </w:t>
            </w:r>
            <w:proofErr w:type="spellStart"/>
            <w:r w:rsidRPr="00F55BDF">
              <w:rPr>
                <w:rFonts w:cstheme="minorHAnsi"/>
                <w:sz w:val="20"/>
                <w:szCs w:val="20"/>
                <w:lang w:val="fr-FR"/>
              </w:rPr>
              <w:t>Maikandro</w:t>
            </w:r>
            <w:proofErr w:type="spellEnd"/>
            <w:r w:rsidRPr="00F55BDF">
              <w:rPr>
                <w:rFonts w:cstheme="minorHAnsi"/>
                <w:sz w:val="20"/>
                <w:szCs w:val="20"/>
                <w:lang w:val="fr-FR"/>
              </w:rPr>
              <w:t>)</w:t>
            </w:r>
          </w:p>
          <w:p w14:paraId="7F232672" w14:textId="77777777" w:rsidR="005728A0" w:rsidRPr="00882CA6" w:rsidRDefault="005728A0" w:rsidP="00C04C8D">
            <w:pPr>
              <w:pStyle w:val="ListParagraph"/>
              <w:spacing w:before="0" w:after="0"/>
              <w:ind w:left="0"/>
              <w:rPr>
                <w:rFonts w:cstheme="minorHAnsi"/>
                <w:sz w:val="20"/>
                <w:szCs w:val="20"/>
              </w:rPr>
            </w:pPr>
            <w:r w:rsidRPr="00882CA6">
              <w:rPr>
                <w:rFonts w:cstheme="minorHAnsi"/>
                <w:sz w:val="20"/>
                <w:szCs w:val="20"/>
              </w:rPr>
              <w:t xml:space="preserve">APC </w:t>
            </w:r>
            <w:proofErr w:type="spellStart"/>
            <w:r w:rsidRPr="00882CA6">
              <w:rPr>
                <w:rFonts w:cstheme="minorHAnsi"/>
                <w:sz w:val="20"/>
                <w:szCs w:val="20"/>
              </w:rPr>
              <w:t>Mikea</w:t>
            </w:r>
            <w:proofErr w:type="spellEnd"/>
            <w:r w:rsidRPr="00882CA6">
              <w:rPr>
                <w:rFonts w:cstheme="minorHAnsi"/>
                <w:sz w:val="20"/>
                <w:szCs w:val="20"/>
              </w:rPr>
              <w:t xml:space="preserve"> </w:t>
            </w:r>
            <w:proofErr w:type="spellStart"/>
            <w:r w:rsidRPr="00882CA6">
              <w:rPr>
                <w:rFonts w:cstheme="minorHAnsi"/>
                <w:sz w:val="20"/>
                <w:szCs w:val="20"/>
              </w:rPr>
              <w:t>mitambatra</w:t>
            </w:r>
            <w:proofErr w:type="spellEnd"/>
            <w:r w:rsidRPr="00882CA6">
              <w:rPr>
                <w:rFonts w:cstheme="minorHAnsi"/>
                <w:sz w:val="20"/>
                <w:szCs w:val="20"/>
              </w:rPr>
              <w:t xml:space="preserve"> (</w:t>
            </w:r>
            <w:proofErr w:type="spellStart"/>
            <w:r w:rsidRPr="00882CA6">
              <w:rPr>
                <w:rFonts w:cstheme="minorHAnsi"/>
                <w:sz w:val="20"/>
                <w:szCs w:val="20"/>
              </w:rPr>
              <w:t>Fkt</w:t>
            </w:r>
            <w:proofErr w:type="spellEnd"/>
            <w:r w:rsidRPr="00882CA6">
              <w:rPr>
                <w:rFonts w:cstheme="minorHAnsi"/>
                <w:sz w:val="20"/>
                <w:szCs w:val="20"/>
              </w:rPr>
              <w:t xml:space="preserve"> </w:t>
            </w:r>
            <w:proofErr w:type="spellStart"/>
            <w:r w:rsidRPr="00882CA6">
              <w:rPr>
                <w:rFonts w:cstheme="minorHAnsi"/>
                <w:sz w:val="20"/>
                <w:szCs w:val="20"/>
              </w:rPr>
              <w:t>Vorehe</w:t>
            </w:r>
            <w:proofErr w:type="spellEnd"/>
            <w:r w:rsidRPr="00882CA6">
              <w:rPr>
                <w:rFonts w:cstheme="minorHAnsi"/>
                <w:sz w:val="20"/>
                <w:szCs w:val="20"/>
              </w:rPr>
              <w:t xml:space="preserve"> – </w:t>
            </w:r>
            <w:proofErr w:type="spellStart"/>
            <w:r w:rsidRPr="00882CA6">
              <w:rPr>
                <w:rFonts w:cstheme="minorHAnsi"/>
                <w:sz w:val="20"/>
                <w:szCs w:val="20"/>
              </w:rPr>
              <w:t>Anjabetrongo</w:t>
            </w:r>
            <w:proofErr w:type="spellEnd"/>
            <w:r w:rsidRPr="00882CA6">
              <w:rPr>
                <w:rFonts w:cstheme="minorHAnsi"/>
                <w:sz w:val="20"/>
                <w:szCs w:val="20"/>
              </w:rPr>
              <w:t>)</w:t>
            </w:r>
          </w:p>
          <w:p w14:paraId="0286F202" w14:textId="77777777" w:rsidR="005728A0" w:rsidRPr="00882CA6" w:rsidRDefault="005728A0" w:rsidP="00C04C8D">
            <w:pPr>
              <w:pStyle w:val="ListParagraph"/>
              <w:spacing w:before="0" w:after="0"/>
              <w:ind w:left="0"/>
              <w:rPr>
                <w:rFonts w:cstheme="minorHAnsi"/>
                <w:sz w:val="20"/>
                <w:szCs w:val="20"/>
              </w:rPr>
            </w:pPr>
            <w:r w:rsidRPr="00882CA6">
              <w:rPr>
                <w:rFonts w:cstheme="minorHAnsi"/>
                <w:sz w:val="20"/>
                <w:szCs w:val="20"/>
              </w:rPr>
              <w:t xml:space="preserve">APC </w:t>
            </w:r>
            <w:proofErr w:type="spellStart"/>
            <w:r w:rsidRPr="00882CA6">
              <w:rPr>
                <w:rFonts w:cstheme="minorHAnsi"/>
                <w:sz w:val="20"/>
                <w:szCs w:val="20"/>
              </w:rPr>
              <w:t>Analamahasoa</w:t>
            </w:r>
            <w:proofErr w:type="spellEnd"/>
            <w:r w:rsidRPr="00882CA6">
              <w:rPr>
                <w:rFonts w:cstheme="minorHAnsi"/>
                <w:sz w:val="20"/>
                <w:szCs w:val="20"/>
              </w:rPr>
              <w:t xml:space="preserve"> (</w:t>
            </w:r>
            <w:proofErr w:type="spellStart"/>
            <w:r w:rsidRPr="00882CA6">
              <w:rPr>
                <w:rFonts w:cstheme="minorHAnsi"/>
                <w:sz w:val="20"/>
                <w:szCs w:val="20"/>
              </w:rPr>
              <w:t>Fkt</w:t>
            </w:r>
            <w:proofErr w:type="spellEnd"/>
            <w:r w:rsidRPr="00882CA6">
              <w:rPr>
                <w:rFonts w:cstheme="minorHAnsi"/>
                <w:sz w:val="20"/>
                <w:szCs w:val="20"/>
              </w:rPr>
              <w:t xml:space="preserve"> </w:t>
            </w:r>
            <w:proofErr w:type="spellStart"/>
            <w:r w:rsidRPr="00882CA6">
              <w:rPr>
                <w:rFonts w:cstheme="minorHAnsi"/>
                <w:sz w:val="20"/>
                <w:szCs w:val="20"/>
              </w:rPr>
              <w:t>Nosiambositra</w:t>
            </w:r>
            <w:proofErr w:type="spellEnd"/>
            <w:r w:rsidRPr="00882CA6">
              <w:rPr>
                <w:rFonts w:cstheme="minorHAnsi"/>
                <w:sz w:val="20"/>
                <w:szCs w:val="20"/>
              </w:rPr>
              <w:t>)</w:t>
            </w:r>
          </w:p>
          <w:p w14:paraId="0DFEDD51" w14:textId="77777777" w:rsidR="005728A0" w:rsidRPr="00882CA6" w:rsidRDefault="005728A0" w:rsidP="00C04C8D">
            <w:pPr>
              <w:pStyle w:val="ListParagraph"/>
              <w:spacing w:before="0" w:after="0"/>
              <w:ind w:left="0"/>
              <w:rPr>
                <w:rFonts w:cstheme="minorHAnsi"/>
                <w:sz w:val="20"/>
                <w:szCs w:val="20"/>
              </w:rPr>
            </w:pPr>
            <w:r w:rsidRPr="00882CA6">
              <w:rPr>
                <w:rFonts w:cstheme="minorHAnsi"/>
                <w:sz w:val="20"/>
                <w:szCs w:val="20"/>
              </w:rPr>
              <w:t xml:space="preserve">APC </w:t>
            </w:r>
            <w:proofErr w:type="spellStart"/>
            <w:r w:rsidRPr="00882CA6">
              <w:rPr>
                <w:rFonts w:cstheme="minorHAnsi"/>
                <w:sz w:val="20"/>
                <w:szCs w:val="20"/>
              </w:rPr>
              <w:t>Vezo</w:t>
            </w:r>
            <w:proofErr w:type="spellEnd"/>
            <w:r w:rsidRPr="00882CA6">
              <w:rPr>
                <w:rFonts w:cstheme="minorHAnsi"/>
                <w:sz w:val="20"/>
                <w:szCs w:val="20"/>
              </w:rPr>
              <w:t xml:space="preserve"> (Cr </w:t>
            </w:r>
            <w:proofErr w:type="spellStart"/>
            <w:r w:rsidRPr="00882CA6">
              <w:rPr>
                <w:rFonts w:cstheme="minorHAnsi"/>
                <w:sz w:val="20"/>
                <w:szCs w:val="20"/>
              </w:rPr>
              <w:t>Tsifota</w:t>
            </w:r>
            <w:proofErr w:type="spellEnd"/>
            <w:r w:rsidRPr="00882CA6">
              <w:rPr>
                <w:rFonts w:cstheme="minorHAnsi"/>
                <w:sz w:val="20"/>
                <w:szCs w:val="20"/>
              </w:rPr>
              <w:t xml:space="preserve"> – </w:t>
            </w:r>
            <w:proofErr w:type="spellStart"/>
            <w:r w:rsidRPr="00882CA6">
              <w:rPr>
                <w:rFonts w:cstheme="minorHAnsi"/>
                <w:sz w:val="20"/>
                <w:szCs w:val="20"/>
              </w:rPr>
              <w:t>Manombo</w:t>
            </w:r>
            <w:proofErr w:type="spellEnd"/>
            <w:r w:rsidRPr="00882CA6">
              <w:rPr>
                <w:rFonts w:cstheme="minorHAnsi"/>
                <w:sz w:val="20"/>
                <w:szCs w:val="20"/>
              </w:rPr>
              <w:t>)</w:t>
            </w:r>
          </w:p>
        </w:tc>
        <w:tc>
          <w:tcPr>
            <w:tcW w:w="2095" w:type="dxa"/>
            <w:vAlign w:val="center"/>
          </w:tcPr>
          <w:p w14:paraId="057D34D0" w14:textId="04B50C3F" w:rsidR="005728A0" w:rsidRPr="00F55BDF" w:rsidRDefault="001C08C1" w:rsidP="00C04C8D">
            <w:pPr>
              <w:pStyle w:val="ListParagraph"/>
              <w:spacing w:before="0" w:after="0"/>
              <w:ind w:left="0"/>
              <w:rPr>
                <w:rFonts w:cstheme="minorHAnsi"/>
                <w:sz w:val="20"/>
                <w:szCs w:val="20"/>
                <w:lang w:val="fr-FR"/>
              </w:rPr>
            </w:pPr>
            <w:r>
              <w:rPr>
                <w:rFonts w:cstheme="minorHAnsi"/>
                <w:sz w:val="20"/>
                <w:szCs w:val="20"/>
                <w:lang w:val="fr-FR"/>
              </w:rPr>
              <w:lastRenderedPageBreak/>
              <w:t xml:space="preserve">Membres des </w:t>
            </w:r>
            <w:r w:rsidR="001B7324" w:rsidRPr="00F55BDF">
              <w:rPr>
                <w:rFonts w:cstheme="minorHAnsi"/>
                <w:sz w:val="20"/>
                <w:szCs w:val="20"/>
                <w:lang w:val="fr-FR"/>
              </w:rPr>
              <w:t xml:space="preserve">Comités de Gestion </w:t>
            </w:r>
            <w:r>
              <w:rPr>
                <w:rFonts w:cstheme="minorHAnsi"/>
                <w:sz w:val="20"/>
                <w:szCs w:val="20"/>
                <w:lang w:val="fr-FR"/>
              </w:rPr>
              <w:t xml:space="preserve">(COGE) </w:t>
            </w:r>
            <w:r w:rsidR="001B7324" w:rsidRPr="00F55BDF">
              <w:rPr>
                <w:rFonts w:cstheme="minorHAnsi"/>
                <w:sz w:val="20"/>
                <w:szCs w:val="20"/>
                <w:lang w:val="fr-FR"/>
              </w:rPr>
              <w:t xml:space="preserve">des 07 APC : </w:t>
            </w:r>
            <w:r w:rsidR="005728A0" w:rsidRPr="00F55BDF">
              <w:rPr>
                <w:rFonts w:cstheme="minorHAnsi"/>
                <w:sz w:val="20"/>
                <w:szCs w:val="20"/>
                <w:lang w:val="fr-FR"/>
              </w:rPr>
              <w:t>Gestionnaires responsables</w:t>
            </w:r>
            <w:r w:rsidR="001B7324" w:rsidRPr="00F55BDF">
              <w:rPr>
                <w:rFonts w:cstheme="minorHAnsi"/>
                <w:sz w:val="20"/>
                <w:szCs w:val="20"/>
                <w:lang w:val="fr-FR"/>
              </w:rPr>
              <w:t xml:space="preserve"> : membres des commissions environnement, </w:t>
            </w:r>
            <w:r w:rsidR="001B7324" w:rsidRPr="00F55BDF">
              <w:rPr>
                <w:rFonts w:cstheme="minorHAnsi"/>
                <w:sz w:val="20"/>
                <w:szCs w:val="20"/>
                <w:lang w:val="fr-FR"/>
              </w:rPr>
              <w:lastRenderedPageBreak/>
              <w:t xml:space="preserve">sociale, développement </w:t>
            </w:r>
          </w:p>
        </w:tc>
        <w:tc>
          <w:tcPr>
            <w:tcW w:w="2780" w:type="dxa"/>
            <w:vAlign w:val="center"/>
          </w:tcPr>
          <w:p w14:paraId="2F5FC583" w14:textId="0C7E422E" w:rsidR="005728A0" w:rsidRPr="00F55BDF" w:rsidRDefault="001B7324" w:rsidP="00C04C8D">
            <w:pPr>
              <w:pStyle w:val="ListParagraph"/>
              <w:spacing w:before="0" w:after="0"/>
              <w:ind w:left="0"/>
              <w:rPr>
                <w:rFonts w:cstheme="minorHAnsi"/>
                <w:sz w:val="20"/>
                <w:szCs w:val="20"/>
                <w:lang w:val="fr-FR"/>
              </w:rPr>
            </w:pPr>
            <w:r w:rsidRPr="00F55BDF">
              <w:rPr>
                <w:rFonts w:cstheme="minorHAnsi"/>
                <w:sz w:val="20"/>
                <w:szCs w:val="20"/>
                <w:lang w:val="fr-FR"/>
              </w:rPr>
              <w:lastRenderedPageBreak/>
              <w:t>20 personnes par APC : 140</w:t>
            </w:r>
            <w:r w:rsidR="001B7FA3">
              <w:rPr>
                <w:rFonts w:cstheme="minorHAnsi"/>
                <w:sz w:val="20"/>
                <w:szCs w:val="20"/>
                <w:lang w:val="fr-FR"/>
              </w:rPr>
              <w:t xml:space="preserve"> pour les 07 APC</w:t>
            </w:r>
            <w:r w:rsidRPr="00F55BDF">
              <w:rPr>
                <w:rFonts w:cstheme="minorHAnsi"/>
                <w:sz w:val="20"/>
                <w:szCs w:val="20"/>
                <w:lang w:val="fr-FR"/>
              </w:rPr>
              <w:t xml:space="preserve"> </w:t>
            </w:r>
          </w:p>
        </w:tc>
      </w:tr>
      <w:tr w:rsidR="001B7324" w:rsidRPr="00F55BDF" w14:paraId="4483F952" w14:textId="77777777" w:rsidTr="00887DF2">
        <w:tc>
          <w:tcPr>
            <w:tcW w:w="2840" w:type="dxa"/>
            <w:vAlign w:val="center"/>
          </w:tcPr>
          <w:p w14:paraId="288CB81E" w14:textId="0BB274A1" w:rsidR="005728A0" w:rsidRPr="00F55BDF" w:rsidRDefault="005728A0" w:rsidP="00C04C8D">
            <w:pPr>
              <w:pStyle w:val="ListParagraph"/>
              <w:spacing w:before="0" w:after="0"/>
              <w:ind w:left="0"/>
              <w:rPr>
                <w:rFonts w:cstheme="minorHAnsi"/>
                <w:sz w:val="20"/>
                <w:szCs w:val="20"/>
                <w:lang w:val="fr-FR"/>
              </w:rPr>
            </w:pPr>
            <w:r w:rsidRPr="00F55BDF">
              <w:rPr>
                <w:rFonts w:cstheme="minorHAnsi"/>
                <w:sz w:val="20"/>
                <w:szCs w:val="20"/>
                <w:lang w:val="fr-FR"/>
              </w:rPr>
              <w:t>Activités génératrices de revenus</w:t>
            </w:r>
            <w:r w:rsidR="001B7324" w:rsidRPr="00F55BDF">
              <w:rPr>
                <w:rFonts w:cstheme="minorHAnsi"/>
                <w:sz w:val="20"/>
                <w:szCs w:val="20"/>
                <w:lang w:val="fr-FR"/>
              </w:rPr>
              <w:t xml:space="preserve"> (AGR) ;</w:t>
            </w:r>
            <w:r w:rsidRPr="00F55BDF">
              <w:rPr>
                <w:rFonts w:cstheme="minorHAnsi"/>
                <w:sz w:val="20"/>
                <w:szCs w:val="20"/>
                <w:lang w:val="fr-FR"/>
              </w:rPr>
              <w:t xml:space="preserve"> agriculture durable et viable</w:t>
            </w:r>
          </w:p>
        </w:tc>
        <w:tc>
          <w:tcPr>
            <w:tcW w:w="2066" w:type="dxa"/>
            <w:vMerge/>
            <w:vAlign w:val="center"/>
          </w:tcPr>
          <w:p w14:paraId="3980317D" w14:textId="77777777" w:rsidR="005728A0" w:rsidRPr="00F55BDF" w:rsidRDefault="005728A0" w:rsidP="00C04C8D">
            <w:pPr>
              <w:pStyle w:val="ListParagraph"/>
              <w:spacing w:before="0" w:after="0"/>
              <w:ind w:left="0"/>
              <w:rPr>
                <w:rFonts w:cstheme="minorHAnsi"/>
                <w:sz w:val="20"/>
                <w:szCs w:val="20"/>
                <w:lang w:val="fr-FR"/>
              </w:rPr>
            </w:pPr>
          </w:p>
        </w:tc>
        <w:tc>
          <w:tcPr>
            <w:tcW w:w="2095" w:type="dxa"/>
            <w:vAlign w:val="center"/>
          </w:tcPr>
          <w:p w14:paraId="05F7530B" w14:textId="6DD3B3B4" w:rsidR="005728A0" w:rsidRPr="00F55BDF" w:rsidRDefault="001B7324" w:rsidP="00C04C8D">
            <w:pPr>
              <w:pStyle w:val="ListParagraph"/>
              <w:spacing w:before="0" w:after="0"/>
              <w:ind w:left="0"/>
              <w:rPr>
                <w:rFonts w:cstheme="minorHAnsi"/>
                <w:sz w:val="20"/>
                <w:szCs w:val="20"/>
                <w:lang w:val="fr-FR"/>
              </w:rPr>
            </w:pPr>
            <w:r w:rsidRPr="00F55BDF">
              <w:rPr>
                <w:rFonts w:cstheme="minorHAnsi"/>
                <w:sz w:val="20"/>
                <w:szCs w:val="20"/>
                <w:lang w:val="fr-FR"/>
              </w:rPr>
              <w:t>Les personnes affectées par le projet (</w:t>
            </w:r>
            <w:r w:rsidR="00027F8C">
              <w:rPr>
                <w:rFonts w:cstheme="minorHAnsi"/>
                <w:sz w:val="20"/>
                <w:szCs w:val="20"/>
                <w:lang w:val="fr-FR"/>
              </w:rPr>
              <w:t>PAP</w:t>
            </w:r>
            <w:r w:rsidRPr="00F55BDF">
              <w:rPr>
                <w:rFonts w:cstheme="minorHAnsi"/>
                <w:sz w:val="20"/>
                <w:szCs w:val="20"/>
                <w:lang w:val="fr-FR"/>
              </w:rPr>
              <w:t>)de création des 07 APC.  Personnes vivant autour des 07 APC à mettre en place</w:t>
            </w:r>
            <w:r w:rsidR="00027F8C">
              <w:rPr>
                <w:rFonts w:cstheme="minorHAnsi"/>
                <w:sz w:val="20"/>
                <w:szCs w:val="20"/>
                <w:lang w:val="fr-FR"/>
              </w:rPr>
              <w:t xml:space="preserve">. </w:t>
            </w:r>
          </w:p>
        </w:tc>
        <w:tc>
          <w:tcPr>
            <w:tcW w:w="2780" w:type="dxa"/>
            <w:vAlign w:val="center"/>
          </w:tcPr>
          <w:p w14:paraId="7C397D2C" w14:textId="78099C7A" w:rsidR="005728A0" w:rsidRPr="00F55BDF" w:rsidRDefault="00027F8C" w:rsidP="00C04C8D">
            <w:pPr>
              <w:pStyle w:val="ListParagraph"/>
              <w:spacing w:before="0" w:after="0"/>
              <w:ind w:left="0"/>
              <w:rPr>
                <w:rFonts w:cstheme="minorHAnsi"/>
                <w:sz w:val="20"/>
                <w:szCs w:val="20"/>
                <w:lang w:val="fr-FR"/>
              </w:rPr>
            </w:pPr>
            <w:r>
              <w:rPr>
                <w:rFonts w:cstheme="minorHAnsi"/>
                <w:sz w:val="20"/>
                <w:szCs w:val="20"/>
                <w:lang w:val="fr-FR"/>
              </w:rPr>
              <w:t xml:space="preserve">Le nombre des bénéficiaires par APC est à déterminer par le Plan de Gestion </w:t>
            </w:r>
            <w:r w:rsidR="001B7FA3">
              <w:rPr>
                <w:rFonts w:cstheme="minorHAnsi"/>
                <w:sz w:val="20"/>
                <w:szCs w:val="20"/>
                <w:lang w:val="fr-FR"/>
              </w:rPr>
              <w:t xml:space="preserve">Environnementale et de Sauvegarde Sociale (PGESS) qui est pour 2020. </w:t>
            </w:r>
            <w:r w:rsidR="005728A0" w:rsidRPr="00F55BDF">
              <w:rPr>
                <w:rFonts w:cstheme="minorHAnsi"/>
                <w:sz w:val="20"/>
                <w:szCs w:val="20"/>
                <w:lang w:val="fr-FR"/>
              </w:rPr>
              <w:t xml:space="preserve">Les bénéficiaires sont identifiés et préparés pour mettre en œuvre les </w:t>
            </w:r>
            <w:r w:rsidR="001B7324" w:rsidRPr="00F55BDF">
              <w:rPr>
                <w:rFonts w:cstheme="minorHAnsi"/>
                <w:sz w:val="20"/>
                <w:szCs w:val="20"/>
                <w:lang w:val="fr-FR"/>
              </w:rPr>
              <w:t xml:space="preserve">AGR identifiés (formation et équipements pour 2019 : </w:t>
            </w:r>
            <w:r w:rsidR="008C3F23">
              <w:rPr>
                <w:rFonts w:cstheme="minorHAnsi"/>
                <w:sz w:val="20"/>
                <w:szCs w:val="20"/>
                <w:lang w:val="fr-FR"/>
              </w:rPr>
              <w:t>305</w:t>
            </w:r>
            <w:r w:rsidR="001B7324" w:rsidRPr="00F55BDF">
              <w:rPr>
                <w:rFonts w:cstheme="minorHAnsi"/>
                <w:sz w:val="20"/>
                <w:szCs w:val="20"/>
                <w:lang w:val="fr-FR"/>
              </w:rPr>
              <w:t xml:space="preserve"> personnes)</w:t>
            </w:r>
            <w:r w:rsidR="008C3F23">
              <w:rPr>
                <w:rFonts w:cstheme="minorHAnsi"/>
                <w:sz w:val="20"/>
                <w:szCs w:val="20"/>
                <w:lang w:val="fr-FR"/>
              </w:rPr>
              <w:t xml:space="preserve"> (AGR cash for </w:t>
            </w:r>
            <w:proofErr w:type="spellStart"/>
            <w:r w:rsidR="008C3F23">
              <w:rPr>
                <w:rFonts w:cstheme="minorHAnsi"/>
                <w:sz w:val="20"/>
                <w:szCs w:val="20"/>
                <w:lang w:val="fr-FR"/>
              </w:rPr>
              <w:t>work</w:t>
            </w:r>
            <w:proofErr w:type="spellEnd"/>
            <w:r w:rsidR="008C3F23">
              <w:rPr>
                <w:rFonts w:cstheme="minorHAnsi"/>
                <w:sz w:val="20"/>
                <w:szCs w:val="20"/>
                <w:lang w:val="fr-FR"/>
              </w:rPr>
              <w:t xml:space="preserve"> : production de jeunes plants dans les sites pépinières et construction des </w:t>
            </w:r>
            <w:proofErr w:type="spellStart"/>
            <w:r w:rsidR="008C3F23">
              <w:rPr>
                <w:rFonts w:cstheme="minorHAnsi"/>
                <w:sz w:val="20"/>
                <w:szCs w:val="20"/>
                <w:lang w:val="fr-FR"/>
              </w:rPr>
              <w:t>pare-feux</w:t>
            </w:r>
            <w:proofErr w:type="spellEnd"/>
            <w:r w:rsidR="008C3F23">
              <w:rPr>
                <w:rFonts w:cstheme="minorHAnsi"/>
                <w:sz w:val="20"/>
                <w:szCs w:val="20"/>
                <w:lang w:val="fr-FR"/>
              </w:rPr>
              <w:t xml:space="preserve"> autour des APC : 948 personnes)</w:t>
            </w:r>
          </w:p>
        </w:tc>
      </w:tr>
    </w:tbl>
    <w:p w14:paraId="63C6961A" w14:textId="77777777" w:rsidR="00686581" w:rsidRPr="00F55BDF" w:rsidRDefault="00686581" w:rsidP="00256D4D">
      <w:pPr>
        <w:pStyle w:val="ListParagraph"/>
        <w:rPr>
          <w:b/>
          <w:lang w:val="fr-FR"/>
        </w:rPr>
      </w:pPr>
    </w:p>
    <w:p w14:paraId="4C46C2B1" w14:textId="688C7C27" w:rsidR="00F0284E" w:rsidRPr="00F55BDF" w:rsidRDefault="00A77885" w:rsidP="00204E92">
      <w:pPr>
        <w:pStyle w:val="ListParagraph"/>
        <w:numPr>
          <w:ilvl w:val="0"/>
          <w:numId w:val="6"/>
        </w:numPr>
        <w:rPr>
          <w:b/>
          <w:u w:val="single"/>
          <w:lang w:val="fr-FR"/>
        </w:rPr>
      </w:pPr>
      <w:r w:rsidRPr="00F55BDF">
        <w:rPr>
          <w:b/>
          <w:u w:val="single"/>
          <w:lang w:val="fr-FR"/>
        </w:rPr>
        <w:t>Grandes</w:t>
      </w:r>
      <w:r w:rsidR="00503C7E" w:rsidRPr="00F55BDF">
        <w:rPr>
          <w:b/>
          <w:u w:val="single"/>
          <w:lang w:val="fr-FR"/>
        </w:rPr>
        <w:t xml:space="preserve"> r</w:t>
      </w:r>
      <w:r w:rsidR="00F0284E" w:rsidRPr="00F55BDF">
        <w:rPr>
          <w:b/>
          <w:u w:val="single"/>
          <w:lang w:val="fr-FR"/>
        </w:rPr>
        <w:t xml:space="preserve">éalisations </w:t>
      </w:r>
      <w:r w:rsidR="00FE6927" w:rsidRPr="00F55BDF">
        <w:rPr>
          <w:b/>
          <w:u w:val="single"/>
          <w:lang w:val="fr-FR"/>
        </w:rPr>
        <w:t xml:space="preserve">et résultats </w:t>
      </w:r>
      <w:r w:rsidR="00F0284E" w:rsidRPr="00F55BDF">
        <w:rPr>
          <w:b/>
          <w:u w:val="single"/>
          <w:lang w:val="fr-FR"/>
        </w:rPr>
        <w:t>marquants dans cet Output </w:t>
      </w:r>
      <w:r w:rsidR="001619FE" w:rsidRPr="00F55BDF">
        <w:rPr>
          <w:b/>
          <w:u w:val="single"/>
          <w:lang w:val="fr-FR"/>
        </w:rPr>
        <w:t>(</w:t>
      </w:r>
      <w:r w:rsidRPr="00F55BDF">
        <w:rPr>
          <w:b/>
          <w:u w:val="single"/>
          <w:lang w:val="fr-FR"/>
        </w:rPr>
        <w:t xml:space="preserve">facteurs explicatifs, résultats </w:t>
      </w:r>
      <w:r w:rsidR="001619FE" w:rsidRPr="00F55BDF">
        <w:rPr>
          <w:b/>
          <w:u w:val="single"/>
          <w:lang w:val="fr-FR"/>
        </w:rPr>
        <w:t>chiffrés</w:t>
      </w:r>
      <w:r w:rsidR="0069382B" w:rsidRPr="00F55BDF">
        <w:rPr>
          <w:b/>
          <w:u w:val="single"/>
          <w:lang w:val="fr-FR"/>
        </w:rPr>
        <w:t>, de nouveaux indicateurs pertinents peuvent être rajoutés</w:t>
      </w:r>
      <w:r w:rsidR="001619FE" w:rsidRPr="00F55BDF">
        <w:rPr>
          <w:b/>
          <w:u w:val="single"/>
          <w:lang w:val="fr-FR"/>
        </w:rPr>
        <w:t xml:space="preserve">) </w:t>
      </w:r>
      <w:r w:rsidR="00F0284E" w:rsidRPr="00F55BDF">
        <w:rPr>
          <w:b/>
          <w:u w:val="single"/>
          <w:lang w:val="fr-FR"/>
        </w:rPr>
        <w:t xml:space="preserve">: </w:t>
      </w:r>
    </w:p>
    <w:p w14:paraId="19584DA9" w14:textId="5F640EE2" w:rsidR="00686581" w:rsidRPr="00F55BDF" w:rsidRDefault="00686581" w:rsidP="00256D4D">
      <w:pPr>
        <w:pStyle w:val="ListParagraph"/>
        <w:rPr>
          <w:b/>
          <w:lang w:val="fr-FR"/>
        </w:rPr>
      </w:pPr>
    </w:p>
    <w:tbl>
      <w:tblPr>
        <w:tblStyle w:val="TableGrid"/>
        <w:tblW w:w="9923" w:type="dxa"/>
        <w:tblInd w:w="-289" w:type="dxa"/>
        <w:tblLook w:val="04A0" w:firstRow="1" w:lastRow="0" w:firstColumn="1" w:lastColumn="0" w:noHBand="0" w:noVBand="1"/>
      </w:tblPr>
      <w:tblGrid>
        <w:gridCol w:w="1702"/>
        <w:gridCol w:w="2751"/>
        <w:gridCol w:w="2068"/>
        <w:gridCol w:w="1691"/>
        <w:gridCol w:w="1711"/>
      </w:tblGrid>
      <w:tr w:rsidR="00E51FC3" w:rsidRPr="00F03B0A" w14:paraId="0626C709" w14:textId="77777777" w:rsidTr="00E51FC3">
        <w:tc>
          <w:tcPr>
            <w:tcW w:w="1702" w:type="dxa"/>
          </w:tcPr>
          <w:p w14:paraId="49863355" w14:textId="4611EDB5" w:rsidR="00686581" w:rsidRPr="00F03B0A" w:rsidRDefault="00686581" w:rsidP="00686581">
            <w:pPr>
              <w:pStyle w:val="ListParagraph"/>
              <w:ind w:left="0"/>
              <w:rPr>
                <w:b/>
                <w:sz w:val="20"/>
                <w:szCs w:val="20"/>
                <w:lang w:val="fr-FR"/>
              </w:rPr>
            </w:pPr>
            <w:r w:rsidRPr="00F03B0A">
              <w:rPr>
                <w:b/>
                <w:sz w:val="20"/>
                <w:szCs w:val="20"/>
                <w:lang w:val="fr-FR"/>
              </w:rPr>
              <w:t>Domaines d’intervention / d’activité</w:t>
            </w:r>
          </w:p>
        </w:tc>
        <w:tc>
          <w:tcPr>
            <w:tcW w:w="2751" w:type="dxa"/>
          </w:tcPr>
          <w:p w14:paraId="3C6C25A9" w14:textId="649AB517" w:rsidR="00686581" w:rsidRPr="00F03B0A" w:rsidRDefault="00686581" w:rsidP="00686581">
            <w:pPr>
              <w:pStyle w:val="ListParagraph"/>
              <w:ind w:left="0"/>
              <w:rPr>
                <w:b/>
                <w:sz w:val="20"/>
                <w:szCs w:val="20"/>
                <w:lang w:val="fr-FR"/>
              </w:rPr>
            </w:pPr>
            <w:r w:rsidRPr="00F03B0A">
              <w:rPr>
                <w:b/>
                <w:sz w:val="20"/>
                <w:szCs w:val="20"/>
                <w:lang w:val="fr-FR"/>
              </w:rPr>
              <w:t>Réalisations / résultats (langage de changement)</w:t>
            </w:r>
            <w:r w:rsidR="001C0F99" w:rsidRPr="00F03B0A">
              <w:rPr>
                <w:b/>
                <w:sz w:val="20"/>
                <w:szCs w:val="20"/>
                <w:lang w:val="fr-FR"/>
              </w:rPr>
              <w:t xml:space="preserve"> et chiffres à l’appui</w:t>
            </w:r>
          </w:p>
        </w:tc>
        <w:tc>
          <w:tcPr>
            <w:tcW w:w="2068" w:type="dxa"/>
          </w:tcPr>
          <w:p w14:paraId="1BED9FCF" w14:textId="7D217D18" w:rsidR="00686581" w:rsidRPr="00F03B0A" w:rsidRDefault="00686581" w:rsidP="00686581">
            <w:pPr>
              <w:pStyle w:val="ListParagraph"/>
              <w:ind w:left="0"/>
              <w:rPr>
                <w:b/>
                <w:sz w:val="20"/>
                <w:szCs w:val="20"/>
                <w:lang w:val="fr-FR"/>
              </w:rPr>
            </w:pPr>
            <w:r w:rsidRPr="00F03B0A">
              <w:rPr>
                <w:b/>
                <w:sz w:val="20"/>
                <w:szCs w:val="20"/>
                <w:lang w:val="fr-FR"/>
              </w:rPr>
              <w:t>Facteurs explicatifs</w:t>
            </w:r>
            <w:r w:rsidR="002A6327" w:rsidRPr="00F03B0A">
              <w:rPr>
                <w:b/>
                <w:sz w:val="20"/>
                <w:szCs w:val="20"/>
                <w:lang w:val="fr-FR"/>
              </w:rPr>
              <w:t xml:space="preserve"> (facteurs de succès)</w:t>
            </w:r>
          </w:p>
        </w:tc>
        <w:tc>
          <w:tcPr>
            <w:tcW w:w="1691" w:type="dxa"/>
          </w:tcPr>
          <w:p w14:paraId="061892C2" w14:textId="348DC5A1" w:rsidR="00686581" w:rsidRPr="00F03B0A" w:rsidRDefault="00686581" w:rsidP="00686581">
            <w:pPr>
              <w:pStyle w:val="ListParagraph"/>
              <w:ind w:left="0"/>
              <w:rPr>
                <w:b/>
                <w:sz w:val="20"/>
                <w:szCs w:val="20"/>
                <w:lang w:val="fr-FR"/>
              </w:rPr>
            </w:pPr>
            <w:r w:rsidRPr="00F03B0A">
              <w:rPr>
                <w:b/>
                <w:sz w:val="20"/>
                <w:szCs w:val="20"/>
                <w:lang w:val="fr-FR"/>
              </w:rPr>
              <w:t xml:space="preserve">Source des données </w:t>
            </w:r>
          </w:p>
        </w:tc>
        <w:tc>
          <w:tcPr>
            <w:tcW w:w="1711" w:type="dxa"/>
          </w:tcPr>
          <w:p w14:paraId="77C2C5AF" w14:textId="54B44693" w:rsidR="00686581" w:rsidRPr="00F03B0A" w:rsidRDefault="00686581" w:rsidP="00686581">
            <w:pPr>
              <w:pStyle w:val="ListParagraph"/>
              <w:ind w:left="0"/>
              <w:rPr>
                <w:b/>
                <w:sz w:val="20"/>
                <w:szCs w:val="20"/>
                <w:lang w:val="fr-FR"/>
              </w:rPr>
            </w:pPr>
            <w:r w:rsidRPr="00F03B0A">
              <w:rPr>
                <w:b/>
                <w:sz w:val="20"/>
                <w:szCs w:val="20"/>
                <w:lang w:val="fr-FR"/>
              </w:rPr>
              <w:t>Observations</w:t>
            </w:r>
          </w:p>
        </w:tc>
      </w:tr>
      <w:tr w:rsidR="00E51FC3" w:rsidRPr="00F03B0A" w14:paraId="6460C1C1" w14:textId="77777777" w:rsidTr="00E51FC3">
        <w:tc>
          <w:tcPr>
            <w:tcW w:w="1702" w:type="dxa"/>
          </w:tcPr>
          <w:p w14:paraId="18AE4C82" w14:textId="494D7C30" w:rsidR="00686581" w:rsidRPr="00F03B0A" w:rsidRDefault="00F03B0A" w:rsidP="00F7509E">
            <w:pPr>
              <w:pStyle w:val="ListParagraph"/>
              <w:spacing w:before="0" w:after="0"/>
              <w:ind w:left="0"/>
              <w:rPr>
                <w:bCs/>
                <w:sz w:val="20"/>
                <w:szCs w:val="20"/>
                <w:lang w:val="fr-FR"/>
              </w:rPr>
            </w:pPr>
            <w:r w:rsidRPr="00F03B0A">
              <w:rPr>
                <w:bCs/>
                <w:sz w:val="20"/>
                <w:szCs w:val="20"/>
                <w:lang w:val="fr-FR"/>
              </w:rPr>
              <w:t>Création et Gestion des 07 Aires Protégées Communautaires (APC)</w:t>
            </w:r>
          </w:p>
        </w:tc>
        <w:tc>
          <w:tcPr>
            <w:tcW w:w="2751" w:type="dxa"/>
          </w:tcPr>
          <w:p w14:paraId="09E19FA5" w14:textId="7BFFF8D9" w:rsidR="007414AE" w:rsidRDefault="007414AE" w:rsidP="00F7509E">
            <w:pPr>
              <w:pStyle w:val="ListParagraph"/>
              <w:spacing w:before="0" w:after="0"/>
              <w:ind w:left="0"/>
              <w:rPr>
                <w:bCs/>
                <w:sz w:val="20"/>
                <w:szCs w:val="20"/>
                <w:lang w:val="fr-FR"/>
              </w:rPr>
            </w:pPr>
            <w:r>
              <w:rPr>
                <w:bCs/>
                <w:sz w:val="20"/>
                <w:szCs w:val="20"/>
                <w:lang w:val="fr-FR"/>
              </w:rPr>
              <w:t xml:space="preserve">-07 structure de gestion en </w:t>
            </w:r>
            <w:r w:rsidR="00F7509E">
              <w:rPr>
                <w:bCs/>
                <w:sz w:val="20"/>
                <w:szCs w:val="20"/>
                <w:lang w:val="fr-FR"/>
              </w:rPr>
              <w:t>p</w:t>
            </w:r>
            <w:r>
              <w:rPr>
                <w:bCs/>
                <w:sz w:val="20"/>
                <w:szCs w:val="20"/>
                <w:lang w:val="fr-FR"/>
              </w:rPr>
              <w:t xml:space="preserve">lace et opérationnelle avec 140 membres dont 25% sont </w:t>
            </w:r>
            <w:r w:rsidR="00F7509E">
              <w:rPr>
                <w:bCs/>
                <w:sz w:val="20"/>
                <w:szCs w:val="20"/>
                <w:lang w:val="fr-FR"/>
              </w:rPr>
              <w:t>d</w:t>
            </w:r>
            <w:r>
              <w:rPr>
                <w:bCs/>
                <w:sz w:val="20"/>
                <w:szCs w:val="20"/>
                <w:lang w:val="fr-FR"/>
              </w:rPr>
              <w:t>es femmes.</w:t>
            </w:r>
            <w:r w:rsidR="00F7509E">
              <w:rPr>
                <w:bCs/>
                <w:sz w:val="20"/>
                <w:szCs w:val="20"/>
                <w:lang w:val="fr-FR"/>
              </w:rPr>
              <w:t xml:space="preserve"> 1 président de COGE sur 7 est une femme.</w:t>
            </w:r>
          </w:p>
          <w:p w14:paraId="71B9DF74" w14:textId="29C815FB" w:rsidR="00686581" w:rsidRPr="00F03B0A" w:rsidRDefault="007414AE" w:rsidP="00F7509E">
            <w:pPr>
              <w:pStyle w:val="ListParagraph"/>
              <w:spacing w:before="0" w:after="0"/>
              <w:ind w:left="0"/>
              <w:rPr>
                <w:bCs/>
                <w:sz w:val="20"/>
                <w:szCs w:val="20"/>
                <w:lang w:val="fr-FR"/>
              </w:rPr>
            </w:pPr>
            <w:r>
              <w:rPr>
                <w:bCs/>
                <w:sz w:val="20"/>
                <w:szCs w:val="20"/>
                <w:lang w:val="fr-FR"/>
              </w:rPr>
              <w:t>-131</w:t>
            </w:r>
            <w:r w:rsidR="00F7509E">
              <w:rPr>
                <w:bCs/>
                <w:sz w:val="20"/>
                <w:szCs w:val="20"/>
                <w:lang w:val="fr-FR"/>
              </w:rPr>
              <w:t> 907 Ha délimités sans superposition avec les carrés miniers si l’objectif en 2022 est de 100 000 Ha</w:t>
            </w:r>
          </w:p>
        </w:tc>
        <w:tc>
          <w:tcPr>
            <w:tcW w:w="2068" w:type="dxa"/>
          </w:tcPr>
          <w:p w14:paraId="50DFB270" w14:textId="77777777" w:rsidR="00686581" w:rsidRDefault="00F7509E" w:rsidP="00F7509E">
            <w:pPr>
              <w:pStyle w:val="ListParagraph"/>
              <w:spacing w:before="0" w:after="0"/>
              <w:ind w:left="0"/>
              <w:rPr>
                <w:bCs/>
                <w:sz w:val="20"/>
                <w:szCs w:val="20"/>
                <w:lang w:val="fr-FR"/>
              </w:rPr>
            </w:pPr>
            <w:r>
              <w:rPr>
                <w:bCs/>
                <w:sz w:val="20"/>
                <w:szCs w:val="20"/>
                <w:lang w:val="fr-FR"/>
              </w:rPr>
              <w:t>-gestion adaptative face au retard cumulé durant le 1</w:t>
            </w:r>
            <w:r w:rsidRPr="00F7509E">
              <w:rPr>
                <w:bCs/>
                <w:sz w:val="20"/>
                <w:szCs w:val="20"/>
                <w:vertAlign w:val="superscript"/>
                <w:lang w:val="fr-FR"/>
              </w:rPr>
              <w:t>er</w:t>
            </w:r>
            <w:r>
              <w:rPr>
                <w:bCs/>
                <w:sz w:val="20"/>
                <w:szCs w:val="20"/>
                <w:lang w:val="fr-FR"/>
              </w:rPr>
              <w:t xml:space="preserve"> semestre.</w:t>
            </w:r>
          </w:p>
          <w:p w14:paraId="4C7D5DA2" w14:textId="77777777" w:rsidR="00F7509E" w:rsidRDefault="00F7509E" w:rsidP="00F7509E">
            <w:pPr>
              <w:pStyle w:val="ListParagraph"/>
              <w:spacing w:before="0" w:after="0"/>
              <w:ind w:left="0"/>
              <w:rPr>
                <w:bCs/>
                <w:sz w:val="20"/>
                <w:szCs w:val="20"/>
                <w:lang w:val="fr-FR"/>
              </w:rPr>
            </w:pPr>
            <w:r>
              <w:rPr>
                <w:bCs/>
                <w:sz w:val="20"/>
                <w:szCs w:val="20"/>
                <w:lang w:val="fr-FR"/>
              </w:rPr>
              <w:t>-étroite collaboration avec le Service des AP de la DGRNE du MEDD.</w:t>
            </w:r>
          </w:p>
          <w:p w14:paraId="07EC2B65" w14:textId="77777777" w:rsidR="00F7509E" w:rsidRDefault="00F7509E" w:rsidP="00F7509E">
            <w:pPr>
              <w:pStyle w:val="ListParagraph"/>
              <w:spacing w:before="0" w:after="0"/>
              <w:ind w:left="0"/>
              <w:rPr>
                <w:bCs/>
                <w:sz w:val="20"/>
                <w:szCs w:val="20"/>
                <w:lang w:val="fr-FR"/>
              </w:rPr>
            </w:pPr>
            <w:r>
              <w:rPr>
                <w:bCs/>
                <w:sz w:val="20"/>
                <w:szCs w:val="20"/>
                <w:lang w:val="fr-FR"/>
              </w:rPr>
              <w:t xml:space="preserve">-uniformisation des actions d’intervention de </w:t>
            </w:r>
            <w:proofErr w:type="spellStart"/>
            <w:r>
              <w:rPr>
                <w:bCs/>
                <w:sz w:val="20"/>
                <w:szCs w:val="20"/>
                <w:lang w:val="fr-FR"/>
              </w:rPr>
              <w:t>Tany</w:t>
            </w:r>
            <w:proofErr w:type="spellEnd"/>
            <w:r>
              <w:rPr>
                <w:bCs/>
                <w:sz w:val="20"/>
                <w:szCs w:val="20"/>
                <w:lang w:val="fr-FR"/>
              </w:rPr>
              <w:t xml:space="preserve"> </w:t>
            </w:r>
            <w:proofErr w:type="spellStart"/>
            <w:r>
              <w:rPr>
                <w:bCs/>
                <w:sz w:val="20"/>
                <w:szCs w:val="20"/>
                <w:lang w:val="fr-FR"/>
              </w:rPr>
              <w:t>Meva</w:t>
            </w:r>
            <w:proofErr w:type="spellEnd"/>
            <w:r>
              <w:rPr>
                <w:bCs/>
                <w:sz w:val="20"/>
                <w:szCs w:val="20"/>
                <w:lang w:val="fr-FR"/>
              </w:rPr>
              <w:t xml:space="preserve"> et de SAGE dans le processus de création et de mise en place des structures de gestion des 07 APC.</w:t>
            </w:r>
          </w:p>
          <w:p w14:paraId="02BE693E" w14:textId="663B4F5D" w:rsidR="00F7509E" w:rsidRPr="00F03B0A" w:rsidRDefault="00F7509E" w:rsidP="00F7509E">
            <w:pPr>
              <w:pStyle w:val="ListParagraph"/>
              <w:spacing w:before="0" w:after="0"/>
              <w:ind w:left="0"/>
              <w:rPr>
                <w:bCs/>
                <w:sz w:val="20"/>
                <w:szCs w:val="20"/>
                <w:lang w:val="fr-FR"/>
              </w:rPr>
            </w:pPr>
            <w:r>
              <w:rPr>
                <w:bCs/>
                <w:sz w:val="20"/>
                <w:szCs w:val="20"/>
                <w:lang w:val="fr-FR"/>
              </w:rPr>
              <w:t xml:space="preserve">-renforcement de capacités des agents et techniciens de </w:t>
            </w:r>
            <w:proofErr w:type="spellStart"/>
            <w:r>
              <w:rPr>
                <w:bCs/>
                <w:sz w:val="20"/>
                <w:szCs w:val="20"/>
                <w:lang w:val="fr-FR"/>
              </w:rPr>
              <w:t>Tany</w:t>
            </w:r>
            <w:proofErr w:type="spellEnd"/>
            <w:r>
              <w:rPr>
                <w:bCs/>
                <w:sz w:val="20"/>
                <w:szCs w:val="20"/>
                <w:lang w:val="fr-FR"/>
              </w:rPr>
              <w:t xml:space="preserve"> </w:t>
            </w:r>
            <w:proofErr w:type="spellStart"/>
            <w:r>
              <w:rPr>
                <w:bCs/>
                <w:sz w:val="20"/>
                <w:szCs w:val="20"/>
                <w:lang w:val="fr-FR"/>
              </w:rPr>
              <w:t>Meva</w:t>
            </w:r>
            <w:proofErr w:type="spellEnd"/>
            <w:r>
              <w:rPr>
                <w:bCs/>
                <w:sz w:val="20"/>
                <w:szCs w:val="20"/>
                <w:lang w:val="fr-FR"/>
              </w:rPr>
              <w:t xml:space="preserve"> et SAGE sur le processus de création des APC. </w:t>
            </w:r>
          </w:p>
        </w:tc>
        <w:tc>
          <w:tcPr>
            <w:tcW w:w="1691" w:type="dxa"/>
          </w:tcPr>
          <w:p w14:paraId="42322DA4" w14:textId="5E1F5A76" w:rsidR="00686581" w:rsidRDefault="00F7509E" w:rsidP="00F7509E">
            <w:pPr>
              <w:pStyle w:val="ListParagraph"/>
              <w:spacing w:before="0" w:after="0"/>
              <w:ind w:left="0"/>
              <w:rPr>
                <w:bCs/>
                <w:sz w:val="20"/>
                <w:szCs w:val="20"/>
                <w:lang w:val="fr-FR"/>
              </w:rPr>
            </w:pPr>
            <w:r>
              <w:rPr>
                <w:bCs/>
                <w:sz w:val="20"/>
                <w:szCs w:val="20"/>
                <w:lang w:val="fr-FR"/>
              </w:rPr>
              <w:t>-Documents de demande de mise en protection temporaire auprès du SAPM / MEDD.</w:t>
            </w:r>
          </w:p>
          <w:p w14:paraId="5F8C761B" w14:textId="77777777" w:rsidR="00F7509E" w:rsidRDefault="00F7509E" w:rsidP="00F7509E">
            <w:pPr>
              <w:pStyle w:val="ListParagraph"/>
              <w:spacing w:before="0" w:after="0"/>
              <w:ind w:left="0"/>
              <w:rPr>
                <w:bCs/>
                <w:sz w:val="20"/>
                <w:szCs w:val="20"/>
                <w:lang w:val="fr-FR"/>
              </w:rPr>
            </w:pPr>
            <w:r>
              <w:rPr>
                <w:bCs/>
                <w:sz w:val="20"/>
                <w:szCs w:val="20"/>
                <w:lang w:val="fr-FR"/>
              </w:rPr>
              <w:t>-rapports d’activités et cartes des 07 APC</w:t>
            </w:r>
          </w:p>
          <w:p w14:paraId="5DD82BFD" w14:textId="72A68669" w:rsidR="000E3334" w:rsidRPr="00F03B0A" w:rsidRDefault="000E3334" w:rsidP="00F7509E">
            <w:pPr>
              <w:pStyle w:val="ListParagraph"/>
              <w:spacing w:before="0" w:after="0"/>
              <w:ind w:left="0"/>
              <w:rPr>
                <w:bCs/>
                <w:sz w:val="20"/>
                <w:szCs w:val="20"/>
                <w:lang w:val="fr-FR"/>
              </w:rPr>
            </w:pPr>
            <w:r>
              <w:rPr>
                <w:bCs/>
                <w:sz w:val="20"/>
                <w:szCs w:val="20"/>
                <w:lang w:val="fr-FR"/>
              </w:rPr>
              <w:t>-engagement des communautés locales pour la gestion communautaire.</w:t>
            </w:r>
          </w:p>
        </w:tc>
        <w:tc>
          <w:tcPr>
            <w:tcW w:w="1711" w:type="dxa"/>
          </w:tcPr>
          <w:p w14:paraId="491C7928" w14:textId="6555D253" w:rsidR="00686581" w:rsidRPr="00F03B0A" w:rsidRDefault="00F7509E" w:rsidP="00F7509E">
            <w:pPr>
              <w:pStyle w:val="ListParagraph"/>
              <w:spacing w:before="0" w:after="0"/>
              <w:ind w:left="0"/>
              <w:rPr>
                <w:bCs/>
                <w:sz w:val="20"/>
                <w:szCs w:val="20"/>
                <w:lang w:val="fr-FR"/>
              </w:rPr>
            </w:pPr>
            <w:r>
              <w:rPr>
                <w:bCs/>
                <w:sz w:val="20"/>
                <w:szCs w:val="20"/>
                <w:lang w:val="fr-FR"/>
              </w:rPr>
              <w:t>La création définitive des 07 APC est en plein processus. L’objectif pour 2019 est de déposer les demandes de mise en protection définitive des 07 APC auprès du SAPM (fait)</w:t>
            </w:r>
          </w:p>
        </w:tc>
      </w:tr>
      <w:tr w:rsidR="00E51FC3" w:rsidRPr="00F03B0A" w14:paraId="75CDF8E0" w14:textId="77777777" w:rsidTr="00E51FC3">
        <w:tc>
          <w:tcPr>
            <w:tcW w:w="1702" w:type="dxa"/>
          </w:tcPr>
          <w:p w14:paraId="6EF5FB3A" w14:textId="6CECAEDD" w:rsidR="00686581" w:rsidRPr="00F03B0A" w:rsidRDefault="00F03B0A" w:rsidP="00F7509E">
            <w:pPr>
              <w:pStyle w:val="ListParagraph"/>
              <w:spacing w:before="0" w:after="0"/>
              <w:ind w:left="0"/>
              <w:rPr>
                <w:bCs/>
                <w:sz w:val="20"/>
                <w:szCs w:val="20"/>
                <w:lang w:val="fr-FR"/>
              </w:rPr>
            </w:pPr>
            <w:r w:rsidRPr="00F03B0A">
              <w:rPr>
                <w:bCs/>
                <w:sz w:val="20"/>
                <w:szCs w:val="20"/>
                <w:lang w:val="fr-FR"/>
              </w:rPr>
              <w:t>Activités génératrices de revenus (AGR) ; agriculture durable et viable</w:t>
            </w:r>
          </w:p>
        </w:tc>
        <w:tc>
          <w:tcPr>
            <w:tcW w:w="2751" w:type="dxa"/>
          </w:tcPr>
          <w:p w14:paraId="73E6F38A" w14:textId="257652A6" w:rsidR="00686581" w:rsidRDefault="00F7509E" w:rsidP="00F7509E">
            <w:pPr>
              <w:rPr>
                <w:bCs/>
                <w:sz w:val="20"/>
                <w:szCs w:val="20"/>
              </w:rPr>
            </w:pPr>
            <w:r>
              <w:rPr>
                <w:bCs/>
                <w:sz w:val="20"/>
                <w:szCs w:val="20"/>
              </w:rPr>
              <w:t xml:space="preserve">-AGR : </w:t>
            </w:r>
            <w:r w:rsidR="008C3F23">
              <w:rPr>
                <w:bCs/>
                <w:sz w:val="20"/>
                <w:szCs w:val="20"/>
              </w:rPr>
              <w:t xml:space="preserve">objectif 2019, 767 personnes bénéficiaires ; réalisation : </w:t>
            </w:r>
            <w:r w:rsidR="0032098A">
              <w:rPr>
                <w:bCs/>
                <w:sz w:val="20"/>
                <w:szCs w:val="20"/>
              </w:rPr>
              <w:t>972</w:t>
            </w:r>
          </w:p>
          <w:p w14:paraId="4084A86D" w14:textId="77777777" w:rsidR="00D970D6" w:rsidRDefault="00D970D6" w:rsidP="00F7509E">
            <w:pPr>
              <w:rPr>
                <w:bCs/>
                <w:sz w:val="20"/>
                <w:szCs w:val="20"/>
              </w:rPr>
            </w:pPr>
          </w:p>
          <w:p w14:paraId="3A4350F7" w14:textId="77777777" w:rsidR="00D970D6" w:rsidRDefault="00D970D6" w:rsidP="00F7509E">
            <w:pPr>
              <w:rPr>
                <w:bCs/>
                <w:sz w:val="20"/>
                <w:szCs w:val="20"/>
              </w:rPr>
            </w:pPr>
          </w:p>
          <w:p w14:paraId="002677B0" w14:textId="77777777" w:rsidR="00D970D6" w:rsidRDefault="00D970D6" w:rsidP="00F7509E">
            <w:pPr>
              <w:rPr>
                <w:bCs/>
                <w:sz w:val="20"/>
                <w:szCs w:val="20"/>
              </w:rPr>
            </w:pPr>
          </w:p>
          <w:p w14:paraId="0F606A84" w14:textId="77777777" w:rsidR="00D970D6" w:rsidRDefault="00D970D6" w:rsidP="00F7509E">
            <w:pPr>
              <w:rPr>
                <w:bCs/>
                <w:sz w:val="20"/>
                <w:szCs w:val="20"/>
              </w:rPr>
            </w:pPr>
          </w:p>
          <w:p w14:paraId="20632827" w14:textId="77777777" w:rsidR="00D970D6" w:rsidRDefault="00D970D6" w:rsidP="00F7509E">
            <w:pPr>
              <w:rPr>
                <w:bCs/>
                <w:sz w:val="20"/>
                <w:szCs w:val="20"/>
              </w:rPr>
            </w:pPr>
          </w:p>
          <w:p w14:paraId="2BA740F6" w14:textId="77777777" w:rsidR="00D970D6" w:rsidRDefault="00D970D6" w:rsidP="00F7509E">
            <w:pPr>
              <w:rPr>
                <w:bCs/>
                <w:sz w:val="20"/>
                <w:szCs w:val="20"/>
              </w:rPr>
            </w:pPr>
          </w:p>
          <w:p w14:paraId="5C571F94" w14:textId="77777777" w:rsidR="00D970D6" w:rsidRDefault="00D970D6" w:rsidP="00F7509E">
            <w:pPr>
              <w:rPr>
                <w:bCs/>
                <w:sz w:val="20"/>
                <w:szCs w:val="20"/>
              </w:rPr>
            </w:pPr>
          </w:p>
          <w:p w14:paraId="1E0F4406" w14:textId="77777777" w:rsidR="00D970D6" w:rsidRDefault="00D970D6" w:rsidP="00F7509E">
            <w:pPr>
              <w:rPr>
                <w:bCs/>
                <w:sz w:val="20"/>
                <w:szCs w:val="20"/>
              </w:rPr>
            </w:pPr>
          </w:p>
          <w:p w14:paraId="131BE83E" w14:textId="77777777" w:rsidR="00D970D6" w:rsidRDefault="00D970D6" w:rsidP="00F7509E">
            <w:pPr>
              <w:rPr>
                <w:bCs/>
                <w:sz w:val="20"/>
                <w:szCs w:val="20"/>
              </w:rPr>
            </w:pPr>
          </w:p>
          <w:p w14:paraId="6C2DFA4B" w14:textId="77777777" w:rsidR="00D970D6" w:rsidRDefault="00D970D6" w:rsidP="00F7509E">
            <w:pPr>
              <w:rPr>
                <w:bCs/>
                <w:sz w:val="20"/>
                <w:szCs w:val="20"/>
              </w:rPr>
            </w:pPr>
          </w:p>
          <w:p w14:paraId="73522459" w14:textId="77777777" w:rsidR="00D970D6" w:rsidRDefault="00D970D6" w:rsidP="00F7509E">
            <w:pPr>
              <w:rPr>
                <w:bCs/>
                <w:sz w:val="20"/>
                <w:szCs w:val="20"/>
              </w:rPr>
            </w:pPr>
          </w:p>
          <w:p w14:paraId="65781EE5" w14:textId="77777777" w:rsidR="00D970D6" w:rsidRDefault="00D970D6" w:rsidP="00F7509E">
            <w:pPr>
              <w:rPr>
                <w:bCs/>
                <w:sz w:val="20"/>
                <w:szCs w:val="20"/>
              </w:rPr>
            </w:pPr>
          </w:p>
          <w:p w14:paraId="3AEDA4B4" w14:textId="165051CA" w:rsidR="00D970D6" w:rsidRDefault="00D970D6" w:rsidP="00F7509E">
            <w:pPr>
              <w:rPr>
                <w:bCs/>
                <w:sz w:val="20"/>
                <w:szCs w:val="20"/>
              </w:rPr>
            </w:pPr>
          </w:p>
          <w:p w14:paraId="225E743F" w14:textId="77777777" w:rsidR="00D970D6" w:rsidRDefault="00D970D6" w:rsidP="00F7509E">
            <w:pPr>
              <w:rPr>
                <w:bCs/>
                <w:sz w:val="20"/>
                <w:szCs w:val="20"/>
              </w:rPr>
            </w:pPr>
          </w:p>
          <w:p w14:paraId="6DB3D269" w14:textId="701FFD96" w:rsidR="00D970D6" w:rsidRPr="00F7509E" w:rsidRDefault="00D970D6" w:rsidP="00F7509E">
            <w:pPr>
              <w:rPr>
                <w:bCs/>
                <w:sz w:val="20"/>
                <w:szCs w:val="20"/>
              </w:rPr>
            </w:pPr>
            <w:r>
              <w:rPr>
                <w:bCs/>
                <w:sz w:val="20"/>
                <w:szCs w:val="20"/>
              </w:rPr>
              <w:t xml:space="preserve">-Emplois verts : 24 créés </w:t>
            </w:r>
          </w:p>
        </w:tc>
        <w:tc>
          <w:tcPr>
            <w:tcW w:w="2068" w:type="dxa"/>
          </w:tcPr>
          <w:p w14:paraId="64A9DE37" w14:textId="77777777" w:rsidR="00686581" w:rsidRDefault="008C3F23" w:rsidP="00F7509E">
            <w:pPr>
              <w:pStyle w:val="ListParagraph"/>
              <w:spacing w:before="0" w:after="0"/>
              <w:ind w:left="0"/>
              <w:rPr>
                <w:bCs/>
                <w:sz w:val="20"/>
                <w:szCs w:val="20"/>
                <w:lang w:val="fr-FR"/>
              </w:rPr>
            </w:pPr>
            <w:r>
              <w:rPr>
                <w:bCs/>
                <w:sz w:val="20"/>
                <w:szCs w:val="20"/>
                <w:lang w:val="fr-FR"/>
              </w:rPr>
              <w:lastRenderedPageBreak/>
              <w:t xml:space="preserve">-gestion adaptative face au retard enregistré dans le développement des AGR : réduire la pression dans les AP et APC tout en faire bénéficiant les </w:t>
            </w:r>
            <w:r>
              <w:rPr>
                <w:bCs/>
                <w:sz w:val="20"/>
                <w:szCs w:val="20"/>
                <w:lang w:val="fr-FR"/>
              </w:rPr>
              <w:lastRenderedPageBreak/>
              <w:t xml:space="preserve">populations locales vivant autour des AP et APC des AGR liées à la prévention des feux et aux activités de reboisement. </w:t>
            </w:r>
          </w:p>
          <w:p w14:paraId="3332057B" w14:textId="77777777" w:rsidR="008C3F23" w:rsidRDefault="008C3F23" w:rsidP="00F7509E">
            <w:pPr>
              <w:pStyle w:val="ListParagraph"/>
              <w:spacing w:before="0" w:after="0"/>
              <w:ind w:left="0"/>
              <w:rPr>
                <w:bCs/>
                <w:sz w:val="20"/>
                <w:szCs w:val="20"/>
                <w:lang w:val="fr-FR"/>
              </w:rPr>
            </w:pPr>
            <w:r>
              <w:rPr>
                <w:bCs/>
                <w:sz w:val="20"/>
                <w:szCs w:val="20"/>
                <w:lang w:val="fr-FR"/>
              </w:rPr>
              <w:t>-collaboration avec les parties prenantes</w:t>
            </w:r>
          </w:p>
          <w:p w14:paraId="74F9DD4A" w14:textId="77777777" w:rsidR="00EB6D20" w:rsidRDefault="00EB6D20" w:rsidP="00F7509E">
            <w:pPr>
              <w:pStyle w:val="ListParagraph"/>
              <w:spacing w:before="0" w:after="0"/>
              <w:ind w:left="0"/>
              <w:rPr>
                <w:bCs/>
                <w:sz w:val="20"/>
                <w:szCs w:val="20"/>
                <w:lang w:val="fr-FR"/>
              </w:rPr>
            </w:pPr>
          </w:p>
          <w:p w14:paraId="269BE72E" w14:textId="18903BDD" w:rsidR="00EB6D20" w:rsidRPr="00F03B0A" w:rsidRDefault="00EB6D20" w:rsidP="00F7509E">
            <w:pPr>
              <w:pStyle w:val="ListParagraph"/>
              <w:spacing w:before="0" w:after="0"/>
              <w:ind w:left="0"/>
              <w:rPr>
                <w:bCs/>
                <w:sz w:val="20"/>
                <w:szCs w:val="20"/>
                <w:lang w:val="fr-FR"/>
              </w:rPr>
            </w:pPr>
            <w:r>
              <w:rPr>
                <w:bCs/>
                <w:sz w:val="20"/>
                <w:szCs w:val="20"/>
                <w:lang w:val="fr-FR"/>
              </w:rPr>
              <w:t>-identification de l’apiculture et les travaux de production de jeunes plants dans des pépinières comme filières porteuses et pérennes.</w:t>
            </w:r>
          </w:p>
        </w:tc>
        <w:tc>
          <w:tcPr>
            <w:tcW w:w="1691" w:type="dxa"/>
          </w:tcPr>
          <w:p w14:paraId="46008BE1" w14:textId="77777777" w:rsidR="00686581" w:rsidRPr="00F03B0A" w:rsidRDefault="00686581" w:rsidP="00F7509E">
            <w:pPr>
              <w:pStyle w:val="ListParagraph"/>
              <w:spacing w:before="0" w:after="0"/>
              <w:ind w:left="0"/>
              <w:rPr>
                <w:bCs/>
                <w:sz w:val="20"/>
                <w:szCs w:val="20"/>
                <w:lang w:val="fr-FR"/>
              </w:rPr>
            </w:pPr>
          </w:p>
        </w:tc>
        <w:tc>
          <w:tcPr>
            <w:tcW w:w="1711" w:type="dxa"/>
          </w:tcPr>
          <w:p w14:paraId="0919BA38" w14:textId="77777777" w:rsidR="00686581" w:rsidRDefault="00686581" w:rsidP="00F7509E">
            <w:pPr>
              <w:pStyle w:val="ListParagraph"/>
              <w:spacing w:before="0" w:after="0"/>
              <w:ind w:left="0"/>
              <w:rPr>
                <w:bCs/>
                <w:sz w:val="20"/>
                <w:szCs w:val="20"/>
                <w:lang w:val="fr-FR"/>
              </w:rPr>
            </w:pPr>
          </w:p>
          <w:p w14:paraId="7EF8159C" w14:textId="77777777" w:rsidR="00EB6D20" w:rsidRDefault="00EB6D20" w:rsidP="00F7509E">
            <w:pPr>
              <w:pStyle w:val="ListParagraph"/>
              <w:spacing w:before="0" w:after="0"/>
              <w:ind w:left="0"/>
              <w:rPr>
                <w:bCs/>
                <w:sz w:val="20"/>
                <w:szCs w:val="20"/>
                <w:lang w:val="fr-FR"/>
              </w:rPr>
            </w:pPr>
          </w:p>
          <w:p w14:paraId="608D0484" w14:textId="77777777" w:rsidR="00EB6D20" w:rsidRDefault="00EB6D20" w:rsidP="00F7509E">
            <w:pPr>
              <w:pStyle w:val="ListParagraph"/>
              <w:spacing w:before="0" w:after="0"/>
              <w:ind w:left="0"/>
              <w:rPr>
                <w:bCs/>
                <w:sz w:val="20"/>
                <w:szCs w:val="20"/>
                <w:lang w:val="fr-FR"/>
              </w:rPr>
            </w:pPr>
          </w:p>
          <w:p w14:paraId="395207F9" w14:textId="77777777" w:rsidR="00EB6D20" w:rsidRDefault="00EB6D20" w:rsidP="00F7509E">
            <w:pPr>
              <w:pStyle w:val="ListParagraph"/>
              <w:spacing w:before="0" w:after="0"/>
              <w:ind w:left="0"/>
              <w:rPr>
                <w:bCs/>
                <w:sz w:val="20"/>
                <w:szCs w:val="20"/>
                <w:lang w:val="fr-FR"/>
              </w:rPr>
            </w:pPr>
          </w:p>
          <w:p w14:paraId="36C425EE" w14:textId="77777777" w:rsidR="00EB6D20" w:rsidRDefault="00EB6D20" w:rsidP="00F7509E">
            <w:pPr>
              <w:pStyle w:val="ListParagraph"/>
              <w:spacing w:before="0" w:after="0"/>
              <w:ind w:left="0"/>
              <w:rPr>
                <w:bCs/>
                <w:sz w:val="20"/>
                <w:szCs w:val="20"/>
                <w:lang w:val="fr-FR"/>
              </w:rPr>
            </w:pPr>
          </w:p>
          <w:p w14:paraId="198E3D8D" w14:textId="77777777" w:rsidR="00EB6D20" w:rsidRDefault="00EB6D20" w:rsidP="00F7509E">
            <w:pPr>
              <w:pStyle w:val="ListParagraph"/>
              <w:spacing w:before="0" w:after="0"/>
              <w:ind w:left="0"/>
              <w:rPr>
                <w:bCs/>
                <w:sz w:val="20"/>
                <w:szCs w:val="20"/>
                <w:lang w:val="fr-FR"/>
              </w:rPr>
            </w:pPr>
          </w:p>
          <w:p w14:paraId="16E1FCB0" w14:textId="77777777" w:rsidR="00EB6D20" w:rsidRDefault="00EB6D20" w:rsidP="00F7509E">
            <w:pPr>
              <w:pStyle w:val="ListParagraph"/>
              <w:spacing w:before="0" w:after="0"/>
              <w:ind w:left="0"/>
              <w:rPr>
                <w:bCs/>
                <w:sz w:val="20"/>
                <w:szCs w:val="20"/>
                <w:lang w:val="fr-FR"/>
              </w:rPr>
            </w:pPr>
          </w:p>
          <w:p w14:paraId="1930D073" w14:textId="77777777" w:rsidR="00EB6D20" w:rsidRDefault="00EB6D20" w:rsidP="00F7509E">
            <w:pPr>
              <w:pStyle w:val="ListParagraph"/>
              <w:spacing w:before="0" w:after="0"/>
              <w:ind w:left="0"/>
              <w:rPr>
                <w:bCs/>
                <w:sz w:val="20"/>
                <w:szCs w:val="20"/>
                <w:lang w:val="fr-FR"/>
              </w:rPr>
            </w:pPr>
          </w:p>
          <w:p w14:paraId="68A12348" w14:textId="77777777" w:rsidR="00EB6D20" w:rsidRDefault="00EB6D20" w:rsidP="00F7509E">
            <w:pPr>
              <w:pStyle w:val="ListParagraph"/>
              <w:spacing w:before="0" w:after="0"/>
              <w:ind w:left="0"/>
              <w:rPr>
                <w:bCs/>
                <w:sz w:val="20"/>
                <w:szCs w:val="20"/>
                <w:lang w:val="fr-FR"/>
              </w:rPr>
            </w:pPr>
          </w:p>
          <w:p w14:paraId="325EE2DB" w14:textId="77777777" w:rsidR="00EB6D20" w:rsidRDefault="00EB6D20" w:rsidP="00F7509E">
            <w:pPr>
              <w:pStyle w:val="ListParagraph"/>
              <w:spacing w:before="0" w:after="0"/>
              <w:ind w:left="0"/>
              <w:rPr>
                <w:bCs/>
                <w:sz w:val="20"/>
                <w:szCs w:val="20"/>
                <w:lang w:val="fr-FR"/>
              </w:rPr>
            </w:pPr>
          </w:p>
          <w:p w14:paraId="78241A99" w14:textId="77777777" w:rsidR="00EB6D20" w:rsidRDefault="00EB6D20" w:rsidP="00F7509E">
            <w:pPr>
              <w:pStyle w:val="ListParagraph"/>
              <w:spacing w:before="0" w:after="0"/>
              <w:ind w:left="0"/>
              <w:rPr>
                <w:bCs/>
                <w:sz w:val="20"/>
                <w:szCs w:val="20"/>
                <w:lang w:val="fr-FR"/>
              </w:rPr>
            </w:pPr>
          </w:p>
          <w:p w14:paraId="2A2A9F39" w14:textId="77777777" w:rsidR="00EB6D20" w:rsidRDefault="00EB6D20" w:rsidP="00F7509E">
            <w:pPr>
              <w:pStyle w:val="ListParagraph"/>
              <w:spacing w:before="0" w:after="0"/>
              <w:ind w:left="0"/>
              <w:rPr>
                <w:bCs/>
                <w:sz w:val="20"/>
                <w:szCs w:val="20"/>
                <w:lang w:val="fr-FR"/>
              </w:rPr>
            </w:pPr>
          </w:p>
          <w:p w14:paraId="4E5D4849" w14:textId="77777777" w:rsidR="00EB6D20" w:rsidRDefault="00EB6D20" w:rsidP="00F7509E">
            <w:pPr>
              <w:pStyle w:val="ListParagraph"/>
              <w:spacing w:before="0" w:after="0"/>
              <w:ind w:left="0"/>
              <w:rPr>
                <w:bCs/>
                <w:sz w:val="20"/>
                <w:szCs w:val="20"/>
                <w:lang w:val="fr-FR"/>
              </w:rPr>
            </w:pPr>
          </w:p>
          <w:p w14:paraId="1AEC44E5" w14:textId="77777777" w:rsidR="00EB6D20" w:rsidRDefault="00EB6D20" w:rsidP="00F7509E">
            <w:pPr>
              <w:pStyle w:val="ListParagraph"/>
              <w:spacing w:before="0" w:after="0"/>
              <w:ind w:left="0"/>
              <w:rPr>
                <w:bCs/>
                <w:sz w:val="20"/>
                <w:szCs w:val="20"/>
                <w:lang w:val="fr-FR"/>
              </w:rPr>
            </w:pPr>
          </w:p>
          <w:p w14:paraId="44ECB9C2" w14:textId="77777777" w:rsidR="00EB6D20" w:rsidRDefault="00EB6D20" w:rsidP="00F7509E">
            <w:pPr>
              <w:pStyle w:val="ListParagraph"/>
              <w:spacing w:before="0" w:after="0"/>
              <w:ind w:left="0"/>
              <w:rPr>
                <w:bCs/>
                <w:sz w:val="20"/>
                <w:szCs w:val="20"/>
                <w:lang w:val="fr-FR"/>
              </w:rPr>
            </w:pPr>
          </w:p>
          <w:p w14:paraId="19EB07D4" w14:textId="77777777" w:rsidR="00EB6D20" w:rsidRDefault="00EB6D20" w:rsidP="00F7509E">
            <w:pPr>
              <w:pStyle w:val="ListParagraph"/>
              <w:spacing w:before="0" w:after="0"/>
              <w:ind w:left="0"/>
              <w:rPr>
                <w:bCs/>
                <w:sz w:val="20"/>
                <w:szCs w:val="20"/>
                <w:lang w:val="fr-FR"/>
              </w:rPr>
            </w:pPr>
          </w:p>
          <w:p w14:paraId="2AFE881E" w14:textId="77777777" w:rsidR="00EB6D20" w:rsidRDefault="00EB6D20" w:rsidP="00F7509E">
            <w:pPr>
              <w:pStyle w:val="ListParagraph"/>
              <w:spacing w:before="0" w:after="0"/>
              <w:ind w:left="0"/>
              <w:rPr>
                <w:bCs/>
                <w:sz w:val="20"/>
                <w:szCs w:val="20"/>
                <w:lang w:val="fr-FR"/>
              </w:rPr>
            </w:pPr>
          </w:p>
          <w:p w14:paraId="1E030B1C" w14:textId="5F8C41EB" w:rsidR="00EB6D20" w:rsidRPr="00F03B0A" w:rsidRDefault="00EB6D20" w:rsidP="00F7509E">
            <w:pPr>
              <w:pStyle w:val="ListParagraph"/>
              <w:spacing w:before="0" w:after="0"/>
              <w:ind w:left="0"/>
              <w:rPr>
                <w:bCs/>
                <w:sz w:val="20"/>
                <w:szCs w:val="20"/>
                <w:lang w:val="fr-FR"/>
              </w:rPr>
            </w:pPr>
            <w:r>
              <w:rPr>
                <w:bCs/>
                <w:sz w:val="20"/>
                <w:szCs w:val="20"/>
                <w:lang w:val="fr-FR"/>
              </w:rPr>
              <w:t xml:space="preserve">-indicateur : nombre d’emplois verts créés non identifié pour 2019. Il s’agit de la formation et de l’équipement. </w:t>
            </w:r>
          </w:p>
        </w:tc>
      </w:tr>
    </w:tbl>
    <w:p w14:paraId="1C9BE2D9" w14:textId="77777777" w:rsidR="00686581" w:rsidRPr="00F55BDF" w:rsidRDefault="00686581" w:rsidP="00256D4D">
      <w:pPr>
        <w:pStyle w:val="ListParagraph"/>
        <w:rPr>
          <w:b/>
          <w:lang w:val="fr-FR"/>
        </w:rPr>
      </w:pPr>
    </w:p>
    <w:p w14:paraId="2B7C6CBB" w14:textId="77777777" w:rsidR="00686581" w:rsidRPr="00F55BDF" w:rsidRDefault="00686581" w:rsidP="00256D4D">
      <w:pPr>
        <w:pStyle w:val="ListParagraph"/>
        <w:rPr>
          <w:b/>
          <w:lang w:val="fr-FR"/>
        </w:rPr>
      </w:pPr>
    </w:p>
    <w:p w14:paraId="124F8022" w14:textId="73871E01" w:rsidR="00A77885" w:rsidRPr="00F55BDF" w:rsidRDefault="00A77885" w:rsidP="00204E92">
      <w:pPr>
        <w:pStyle w:val="ListParagraph"/>
        <w:numPr>
          <w:ilvl w:val="0"/>
          <w:numId w:val="6"/>
        </w:numPr>
        <w:rPr>
          <w:b/>
          <w:u w:val="single"/>
          <w:lang w:val="fr-FR"/>
        </w:rPr>
      </w:pPr>
      <w:r w:rsidRPr="00F55BDF">
        <w:rPr>
          <w:b/>
          <w:u w:val="single"/>
          <w:lang w:val="fr-FR"/>
        </w:rPr>
        <w:t>Résultats planifiés non atteints (facteurs explicatifs) :</w:t>
      </w:r>
    </w:p>
    <w:tbl>
      <w:tblPr>
        <w:tblStyle w:val="TableGrid"/>
        <w:tblW w:w="9923" w:type="dxa"/>
        <w:tblInd w:w="-147" w:type="dxa"/>
        <w:tblLook w:val="04A0" w:firstRow="1" w:lastRow="0" w:firstColumn="1" w:lastColumn="0" w:noHBand="0" w:noVBand="1"/>
      </w:tblPr>
      <w:tblGrid>
        <w:gridCol w:w="1985"/>
        <w:gridCol w:w="2268"/>
        <w:gridCol w:w="3402"/>
        <w:gridCol w:w="2268"/>
      </w:tblGrid>
      <w:tr w:rsidR="00175B92" w:rsidRPr="00EB6D20" w14:paraId="73466A21" w14:textId="77777777" w:rsidTr="00256D4D">
        <w:tc>
          <w:tcPr>
            <w:tcW w:w="1985" w:type="dxa"/>
          </w:tcPr>
          <w:p w14:paraId="351EA854" w14:textId="77777777" w:rsidR="00175B92" w:rsidRPr="00EB6D20" w:rsidRDefault="00175B92" w:rsidP="00A331FA">
            <w:pPr>
              <w:pStyle w:val="ListParagraph"/>
              <w:ind w:left="0"/>
              <w:rPr>
                <w:b/>
                <w:sz w:val="20"/>
                <w:szCs w:val="20"/>
                <w:lang w:val="fr-FR"/>
              </w:rPr>
            </w:pPr>
            <w:r w:rsidRPr="00EB6D20">
              <w:rPr>
                <w:b/>
                <w:sz w:val="20"/>
                <w:szCs w:val="20"/>
                <w:lang w:val="fr-FR"/>
              </w:rPr>
              <w:t>Domaines d’intervention / d’activité</w:t>
            </w:r>
          </w:p>
        </w:tc>
        <w:tc>
          <w:tcPr>
            <w:tcW w:w="2268" w:type="dxa"/>
          </w:tcPr>
          <w:p w14:paraId="742C5CC7" w14:textId="373C9980" w:rsidR="00175B92" w:rsidRPr="00EB6D20" w:rsidRDefault="00175B92" w:rsidP="00A331FA">
            <w:pPr>
              <w:pStyle w:val="ListParagraph"/>
              <w:ind w:left="0"/>
              <w:rPr>
                <w:b/>
                <w:sz w:val="20"/>
                <w:szCs w:val="20"/>
                <w:lang w:val="fr-FR"/>
              </w:rPr>
            </w:pPr>
            <w:r w:rsidRPr="00EB6D20">
              <w:rPr>
                <w:b/>
                <w:sz w:val="20"/>
                <w:szCs w:val="20"/>
                <w:lang w:val="fr-FR"/>
              </w:rPr>
              <w:t>Résultats planifiés</w:t>
            </w:r>
            <w:r w:rsidR="000C66F2" w:rsidRPr="00EB6D20">
              <w:rPr>
                <w:b/>
                <w:sz w:val="20"/>
                <w:szCs w:val="20"/>
                <w:lang w:val="fr-FR"/>
              </w:rPr>
              <w:t xml:space="preserve"> (non atteints)</w:t>
            </w:r>
          </w:p>
        </w:tc>
        <w:tc>
          <w:tcPr>
            <w:tcW w:w="3402" w:type="dxa"/>
          </w:tcPr>
          <w:p w14:paraId="64F03C52" w14:textId="5CCC8E00" w:rsidR="00175B92" w:rsidRPr="00EB6D20" w:rsidRDefault="00175B92" w:rsidP="00A331FA">
            <w:pPr>
              <w:pStyle w:val="ListParagraph"/>
              <w:ind w:left="0"/>
              <w:rPr>
                <w:b/>
                <w:sz w:val="20"/>
                <w:szCs w:val="20"/>
                <w:lang w:val="fr-FR"/>
              </w:rPr>
            </w:pPr>
            <w:r w:rsidRPr="00EB6D20">
              <w:rPr>
                <w:b/>
                <w:sz w:val="20"/>
                <w:szCs w:val="20"/>
                <w:lang w:val="fr-FR"/>
              </w:rPr>
              <w:t xml:space="preserve">Facteurs explicatifs </w:t>
            </w:r>
            <w:proofErr w:type="gramStart"/>
            <w:r w:rsidRPr="00EB6D20">
              <w:rPr>
                <w:b/>
                <w:sz w:val="20"/>
                <w:szCs w:val="20"/>
                <w:lang w:val="fr-FR"/>
              </w:rPr>
              <w:t>de la non</w:t>
            </w:r>
            <w:proofErr w:type="gramEnd"/>
            <w:r w:rsidRPr="00EB6D20">
              <w:rPr>
                <w:b/>
                <w:sz w:val="20"/>
                <w:szCs w:val="20"/>
                <w:lang w:val="fr-FR"/>
              </w:rPr>
              <w:t xml:space="preserve"> atteinte des résultats</w:t>
            </w:r>
          </w:p>
        </w:tc>
        <w:tc>
          <w:tcPr>
            <w:tcW w:w="2268" w:type="dxa"/>
          </w:tcPr>
          <w:p w14:paraId="12662281" w14:textId="77777777" w:rsidR="00175B92" w:rsidRPr="00EB6D20" w:rsidRDefault="00175B92" w:rsidP="00A331FA">
            <w:pPr>
              <w:pStyle w:val="ListParagraph"/>
              <w:ind w:left="0"/>
              <w:rPr>
                <w:b/>
                <w:sz w:val="20"/>
                <w:szCs w:val="20"/>
                <w:lang w:val="fr-FR"/>
              </w:rPr>
            </w:pPr>
            <w:r w:rsidRPr="00EB6D20">
              <w:rPr>
                <w:b/>
                <w:sz w:val="20"/>
                <w:szCs w:val="20"/>
                <w:lang w:val="fr-FR"/>
              </w:rPr>
              <w:t>Observations</w:t>
            </w:r>
          </w:p>
        </w:tc>
      </w:tr>
      <w:tr w:rsidR="00175B92" w:rsidRPr="00EB6D20" w14:paraId="19C861C0" w14:textId="77777777" w:rsidTr="00256D4D">
        <w:tc>
          <w:tcPr>
            <w:tcW w:w="1985" w:type="dxa"/>
          </w:tcPr>
          <w:p w14:paraId="6F6267D3" w14:textId="234D7150" w:rsidR="00175B92" w:rsidRPr="00EB6D20" w:rsidRDefault="00EB6D20" w:rsidP="00A11140">
            <w:pPr>
              <w:pStyle w:val="ListParagraph"/>
              <w:spacing w:before="0" w:after="0"/>
              <w:ind w:left="0"/>
              <w:rPr>
                <w:bCs/>
                <w:sz w:val="20"/>
                <w:szCs w:val="20"/>
                <w:lang w:val="fr-FR"/>
              </w:rPr>
            </w:pPr>
            <w:r w:rsidRPr="00EB6D20">
              <w:rPr>
                <w:bCs/>
                <w:sz w:val="20"/>
                <w:szCs w:val="20"/>
                <w:lang w:val="fr-FR"/>
              </w:rPr>
              <w:t>Création et Gestion des 07 Aires Protégées Communautaires (APC)</w:t>
            </w:r>
          </w:p>
        </w:tc>
        <w:tc>
          <w:tcPr>
            <w:tcW w:w="2268" w:type="dxa"/>
          </w:tcPr>
          <w:p w14:paraId="2D3602F6" w14:textId="3588CBF0" w:rsidR="00175B92" w:rsidRPr="00EB6D20" w:rsidRDefault="00EB6D20" w:rsidP="00A11140">
            <w:pPr>
              <w:pStyle w:val="ListParagraph"/>
              <w:spacing w:before="0" w:after="0"/>
              <w:ind w:left="0"/>
              <w:rPr>
                <w:bCs/>
                <w:sz w:val="20"/>
                <w:szCs w:val="20"/>
                <w:lang w:val="fr-FR"/>
              </w:rPr>
            </w:pPr>
            <w:r>
              <w:rPr>
                <w:bCs/>
                <w:sz w:val="20"/>
                <w:szCs w:val="20"/>
                <w:lang w:val="fr-FR"/>
              </w:rPr>
              <w:t xml:space="preserve">-retard dans la formation des membres des COGE et la pratique sur les activités de patrouilles des 03 APC appuyées par </w:t>
            </w:r>
            <w:proofErr w:type="spellStart"/>
            <w:r>
              <w:rPr>
                <w:bCs/>
                <w:sz w:val="20"/>
                <w:szCs w:val="20"/>
                <w:lang w:val="fr-FR"/>
              </w:rPr>
              <w:t>Tany</w:t>
            </w:r>
            <w:proofErr w:type="spellEnd"/>
            <w:r>
              <w:rPr>
                <w:bCs/>
                <w:sz w:val="20"/>
                <w:szCs w:val="20"/>
                <w:lang w:val="fr-FR"/>
              </w:rPr>
              <w:t xml:space="preserve"> </w:t>
            </w:r>
            <w:proofErr w:type="spellStart"/>
            <w:r>
              <w:rPr>
                <w:bCs/>
                <w:sz w:val="20"/>
                <w:szCs w:val="20"/>
                <w:lang w:val="fr-FR"/>
              </w:rPr>
              <w:t>Meva</w:t>
            </w:r>
            <w:proofErr w:type="spellEnd"/>
            <w:r>
              <w:rPr>
                <w:bCs/>
                <w:sz w:val="20"/>
                <w:szCs w:val="20"/>
                <w:lang w:val="fr-FR"/>
              </w:rPr>
              <w:t xml:space="preserve">. </w:t>
            </w:r>
          </w:p>
        </w:tc>
        <w:tc>
          <w:tcPr>
            <w:tcW w:w="3402" w:type="dxa"/>
          </w:tcPr>
          <w:p w14:paraId="0C1C7435" w14:textId="23602BA1" w:rsidR="00175B92" w:rsidRPr="00EB6D20" w:rsidRDefault="00EB6D20" w:rsidP="00A11140">
            <w:pPr>
              <w:pStyle w:val="ListParagraph"/>
              <w:spacing w:before="0" w:after="0"/>
              <w:ind w:left="0"/>
              <w:rPr>
                <w:bCs/>
                <w:sz w:val="20"/>
                <w:szCs w:val="20"/>
                <w:lang w:val="fr-FR"/>
              </w:rPr>
            </w:pPr>
            <w:r>
              <w:rPr>
                <w:bCs/>
                <w:sz w:val="20"/>
                <w:szCs w:val="20"/>
                <w:lang w:val="fr-FR"/>
              </w:rPr>
              <w:t xml:space="preserve">-Le partenaire de mise en œuvre </w:t>
            </w:r>
            <w:proofErr w:type="spellStart"/>
            <w:r>
              <w:rPr>
                <w:bCs/>
                <w:sz w:val="20"/>
                <w:szCs w:val="20"/>
                <w:lang w:val="fr-FR"/>
              </w:rPr>
              <w:t>Tany</w:t>
            </w:r>
            <w:proofErr w:type="spellEnd"/>
            <w:r>
              <w:rPr>
                <w:bCs/>
                <w:sz w:val="20"/>
                <w:szCs w:val="20"/>
                <w:lang w:val="fr-FR"/>
              </w:rPr>
              <w:t xml:space="preserve"> </w:t>
            </w:r>
            <w:proofErr w:type="spellStart"/>
            <w:r>
              <w:rPr>
                <w:bCs/>
                <w:sz w:val="20"/>
                <w:szCs w:val="20"/>
                <w:lang w:val="fr-FR"/>
              </w:rPr>
              <w:t>Meva</w:t>
            </w:r>
            <w:proofErr w:type="spellEnd"/>
            <w:r>
              <w:rPr>
                <w:bCs/>
                <w:sz w:val="20"/>
                <w:szCs w:val="20"/>
                <w:lang w:val="fr-FR"/>
              </w:rPr>
              <w:t xml:space="preserve"> a connu beaucoup de retard sur la mise en œuvre des activités planifiées dans le processus de création des 03 APC.</w:t>
            </w:r>
          </w:p>
        </w:tc>
        <w:tc>
          <w:tcPr>
            <w:tcW w:w="2268" w:type="dxa"/>
          </w:tcPr>
          <w:p w14:paraId="12491C1E" w14:textId="37E5ECFD" w:rsidR="00175B92" w:rsidRPr="00EB6D20" w:rsidRDefault="00EB6D20" w:rsidP="00A11140">
            <w:pPr>
              <w:pStyle w:val="ListParagraph"/>
              <w:spacing w:before="0" w:after="0"/>
              <w:ind w:left="0"/>
              <w:rPr>
                <w:bCs/>
                <w:sz w:val="20"/>
                <w:szCs w:val="20"/>
                <w:lang w:val="fr-FR"/>
              </w:rPr>
            </w:pPr>
            <w:r>
              <w:rPr>
                <w:bCs/>
                <w:sz w:val="20"/>
                <w:szCs w:val="20"/>
                <w:lang w:val="fr-FR"/>
              </w:rPr>
              <w:t>-</w:t>
            </w:r>
            <w:proofErr w:type="spellStart"/>
            <w:r>
              <w:rPr>
                <w:bCs/>
                <w:sz w:val="20"/>
                <w:szCs w:val="20"/>
                <w:lang w:val="fr-FR"/>
              </w:rPr>
              <w:t>Tany</w:t>
            </w:r>
            <w:proofErr w:type="spellEnd"/>
            <w:r>
              <w:rPr>
                <w:bCs/>
                <w:sz w:val="20"/>
                <w:szCs w:val="20"/>
                <w:lang w:val="fr-FR"/>
              </w:rPr>
              <w:t xml:space="preserve"> </w:t>
            </w:r>
            <w:proofErr w:type="spellStart"/>
            <w:r>
              <w:rPr>
                <w:bCs/>
                <w:sz w:val="20"/>
                <w:szCs w:val="20"/>
                <w:lang w:val="fr-FR"/>
              </w:rPr>
              <w:t>Meva</w:t>
            </w:r>
            <w:proofErr w:type="spellEnd"/>
            <w:r>
              <w:rPr>
                <w:bCs/>
                <w:sz w:val="20"/>
                <w:szCs w:val="20"/>
                <w:lang w:val="fr-FR"/>
              </w:rPr>
              <w:t xml:space="preserve"> : le déblocage de fonds du central à l’équipe régionale a pris beaucoup de temps. Le processus de validation et d’approbation (administrative et technique) est très long. Ces situations impactent </w:t>
            </w:r>
            <w:r w:rsidR="00A11140">
              <w:rPr>
                <w:bCs/>
                <w:sz w:val="20"/>
                <w:szCs w:val="20"/>
                <w:lang w:val="fr-FR"/>
              </w:rPr>
              <w:t>sur l’atteinte des résultats.</w:t>
            </w:r>
          </w:p>
        </w:tc>
      </w:tr>
      <w:tr w:rsidR="00175B92" w:rsidRPr="00EB6D20" w14:paraId="279806A6" w14:textId="77777777" w:rsidTr="00256D4D">
        <w:tc>
          <w:tcPr>
            <w:tcW w:w="1985" w:type="dxa"/>
          </w:tcPr>
          <w:p w14:paraId="375AB4BA" w14:textId="77777777" w:rsidR="00175B92" w:rsidRPr="00EB6D20" w:rsidRDefault="00175B92" w:rsidP="00A331FA">
            <w:pPr>
              <w:pStyle w:val="ListParagraph"/>
              <w:ind w:left="0"/>
              <w:rPr>
                <w:bCs/>
                <w:sz w:val="20"/>
                <w:szCs w:val="20"/>
                <w:lang w:val="fr-FR"/>
              </w:rPr>
            </w:pPr>
          </w:p>
        </w:tc>
        <w:tc>
          <w:tcPr>
            <w:tcW w:w="2268" w:type="dxa"/>
          </w:tcPr>
          <w:p w14:paraId="2DD42355" w14:textId="77777777" w:rsidR="00175B92" w:rsidRPr="00EB6D20" w:rsidRDefault="00175B92" w:rsidP="00A331FA">
            <w:pPr>
              <w:pStyle w:val="ListParagraph"/>
              <w:ind w:left="0"/>
              <w:rPr>
                <w:bCs/>
                <w:sz w:val="20"/>
                <w:szCs w:val="20"/>
                <w:lang w:val="fr-FR"/>
              </w:rPr>
            </w:pPr>
          </w:p>
        </w:tc>
        <w:tc>
          <w:tcPr>
            <w:tcW w:w="3402" w:type="dxa"/>
          </w:tcPr>
          <w:p w14:paraId="3E5C2C9A" w14:textId="77777777" w:rsidR="00175B92" w:rsidRPr="00EB6D20" w:rsidRDefault="00175B92" w:rsidP="00A331FA">
            <w:pPr>
              <w:pStyle w:val="ListParagraph"/>
              <w:ind w:left="0"/>
              <w:rPr>
                <w:bCs/>
                <w:sz w:val="20"/>
                <w:szCs w:val="20"/>
                <w:lang w:val="fr-FR"/>
              </w:rPr>
            </w:pPr>
          </w:p>
        </w:tc>
        <w:tc>
          <w:tcPr>
            <w:tcW w:w="2268" w:type="dxa"/>
          </w:tcPr>
          <w:p w14:paraId="206396AC" w14:textId="77777777" w:rsidR="00175B92" w:rsidRPr="00EB6D20" w:rsidRDefault="00175B92" w:rsidP="00A331FA">
            <w:pPr>
              <w:pStyle w:val="ListParagraph"/>
              <w:ind w:left="0"/>
              <w:rPr>
                <w:bCs/>
                <w:sz w:val="20"/>
                <w:szCs w:val="20"/>
                <w:lang w:val="fr-FR"/>
              </w:rPr>
            </w:pPr>
          </w:p>
        </w:tc>
      </w:tr>
    </w:tbl>
    <w:p w14:paraId="219702AD" w14:textId="77777777" w:rsidR="00976BE1" w:rsidRPr="00F55BDF" w:rsidRDefault="00976BE1" w:rsidP="00256D4D">
      <w:pPr>
        <w:ind w:left="360"/>
        <w:rPr>
          <w:b/>
        </w:rPr>
      </w:pPr>
    </w:p>
    <w:p w14:paraId="12968BF0" w14:textId="65A92B11" w:rsidR="006B472C" w:rsidRPr="00F55BDF" w:rsidRDefault="006B472C" w:rsidP="00204E92">
      <w:pPr>
        <w:pStyle w:val="ListParagraph"/>
        <w:numPr>
          <w:ilvl w:val="0"/>
          <w:numId w:val="6"/>
        </w:numPr>
        <w:rPr>
          <w:b/>
          <w:u w:val="single"/>
          <w:lang w:val="fr-FR"/>
        </w:rPr>
      </w:pPr>
      <w:r w:rsidRPr="00F55BDF">
        <w:rPr>
          <w:b/>
          <w:u w:val="single"/>
          <w:lang w:val="fr-FR"/>
        </w:rPr>
        <w:t>Résultats obtenus mais non planifiés (expliquer et chiffrer) le cas échéant :</w:t>
      </w:r>
    </w:p>
    <w:p w14:paraId="25E62B4E" w14:textId="2F368C4B" w:rsidR="001C0F99" w:rsidRPr="00F55BDF" w:rsidRDefault="001C0F99" w:rsidP="00256D4D">
      <w:pPr>
        <w:pStyle w:val="ListParagraph"/>
        <w:rPr>
          <w:b/>
          <w:lang w:val="fr-FR"/>
        </w:rPr>
      </w:pPr>
    </w:p>
    <w:p w14:paraId="5AB0E885" w14:textId="77777777" w:rsidR="001C0F99" w:rsidRPr="00F55BDF" w:rsidRDefault="001C0F99" w:rsidP="00256D4D">
      <w:pPr>
        <w:pStyle w:val="ListParagraph"/>
        <w:rPr>
          <w:b/>
          <w:lang w:val="fr-FR"/>
        </w:rPr>
      </w:pPr>
    </w:p>
    <w:p w14:paraId="51A7CD67" w14:textId="369F24B2" w:rsidR="00F0284E" w:rsidRPr="00F55BDF" w:rsidRDefault="00F0284E" w:rsidP="00204E92">
      <w:pPr>
        <w:pStyle w:val="ListParagraph"/>
        <w:numPr>
          <w:ilvl w:val="0"/>
          <w:numId w:val="6"/>
        </w:numPr>
        <w:rPr>
          <w:b/>
          <w:u w:val="single"/>
          <w:lang w:val="fr-FR"/>
        </w:rPr>
      </w:pPr>
      <w:r w:rsidRPr="00F55BDF">
        <w:rPr>
          <w:b/>
          <w:u w:val="single"/>
          <w:lang w:val="fr-FR"/>
        </w:rPr>
        <w:t xml:space="preserve">Remarques ou observations importantes éventuelles sur l’Output considéré : </w:t>
      </w:r>
    </w:p>
    <w:p w14:paraId="352C1F26" w14:textId="77777777" w:rsidR="00365879" w:rsidRPr="00F55BDF" w:rsidRDefault="00365879" w:rsidP="00246439">
      <w:pPr>
        <w:rPr>
          <w:b/>
        </w:rPr>
      </w:pPr>
    </w:p>
    <w:p w14:paraId="0226039E" w14:textId="56F90ADB" w:rsidR="003E66AB" w:rsidRPr="00F55BDF" w:rsidRDefault="003E66AB" w:rsidP="003E66AB">
      <w:pPr>
        <w:pStyle w:val="ListParagraph"/>
        <w:numPr>
          <w:ilvl w:val="0"/>
          <w:numId w:val="1"/>
        </w:numPr>
        <w:rPr>
          <w:b/>
          <w:i/>
          <w:sz w:val="24"/>
          <w:lang w:val="fr-FR"/>
        </w:rPr>
      </w:pPr>
      <w:r w:rsidRPr="00F55BDF">
        <w:rPr>
          <w:b/>
          <w:i/>
          <w:sz w:val="24"/>
          <w:lang w:val="fr-FR"/>
        </w:rPr>
        <w:t>Mise en œuvre des produits du plan stratégique</w:t>
      </w:r>
    </w:p>
    <w:p w14:paraId="3BF02B0C" w14:textId="195644AB" w:rsidR="003D7D1E" w:rsidRPr="00F55BDF" w:rsidRDefault="003D7D1E" w:rsidP="003D7D1E">
      <w:pPr>
        <w:rPr>
          <w:b/>
        </w:rPr>
      </w:pPr>
      <w:r w:rsidRPr="00F55BDF">
        <w:rPr>
          <w:b/>
        </w:rPr>
        <w:t>Produit du plan stratégique 1</w:t>
      </w:r>
      <w:r w:rsidR="00624624" w:rsidRPr="00F55BDF">
        <w:rPr>
          <w:b/>
        </w:rPr>
        <w:t xml:space="preserve"> </w:t>
      </w:r>
      <w:r w:rsidRPr="00F55BDF">
        <w:rPr>
          <w:b/>
        </w:rPr>
        <w:t>:</w:t>
      </w:r>
      <w:r w:rsidR="00401638" w:rsidRPr="00F55BDF">
        <w:rPr>
          <w:b/>
        </w:rPr>
        <w:t xml:space="preserve"> </w:t>
      </w:r>
    </w:p>
    <w:p w14:paraId="4CB2235F" w14:textId="77777777" w:rsidR="00D6342E" w:rsidRPr="00D6342E" w:rsidRDefault="00D6342E" w:rsidP="00D6342E">
      <w:pPr>
        <w:rPr>
          <w:rFonts w:cstheme="minorHAnsi"/>
        </w:rPr>
      </w:pPr>
      <w:r w:rsidRPr="00D6342E">
        <w:rPr>
          <w:rFonts w:cstheme="minorHAnsi"/>
          <w:b/>
        </w:rPr>
        <w:t>Résultat 1.3</w:t>
      </w:r>
      <w:r w:rsidRPr="00D6342E">
        <w:rPr>
          <w:rFonts w:cstheme="minorHAnsi"/>
        </w:rPr>
        <w:t xml:space="preserve"> : Solutions élaborées aux niveaux national et infranational aux fins de la gestion durable des ressources naturelles, des services écosystémiques, des produits chimiques et des déchets.</w:t>
      </w:r>
    </w:p>
    <w:p w14:paraId="6903CED9" w14:textId="77777777" w:rsidR="00D6342E" w:rsidRPr="00D6342E" w:rsidRDefault="00D6342E" w:rsidP="00D6342E">
      <w:pPr>
        <w:rPr>
          <w:rFonts w:cstheme="minorHAnsi"/>
          <w:lang w:val="en-GB"/>
        </w:rPr>
      </w:pPr>
      <w:proofErr w:type="gramStart"/>
      <w:r w:rsidRPr="00D6342E">
        <w:rPr>
          <w:rFonts w:cstheme="minorHAnsi"/>
          <w:b/>
          <w:lang w:val="en-GB"/>
        </w:rPr>
        <w:t>Output :</w:t>
      </w:r>
      <w:proofErr w:type="gramEnd"/>
      <w:r w:rsidRPr="00D6342E">
        <w:rPr>
          <w:rFonts w:cstheme="minorHAnsi"/>
          <w:b/>
          <w:lang w:val="en-GB"/>
        </w:rPr>
        <w:t xml:space="preserve"> </w:t>
      </w:r>
      <w:r w:rsidRPr="00D6342E">
        <w:rPr>
          <w:rFonts w:cstheme="minorHAnsi"/>
          <w:lang w:val="en-GB"/>
        </w:rPr>
        <w:t>Solutions scaled up for sustainable management of natural resources, including sustainable commodities and green and inclusive value chains</w:t>
      </w:r>
    </w:p>
    <w:p w14:paraId="522344C8" w14:textId="77777777" w:rsidR="00D6342E" w:rsidRPr="00D6342E" w:rsidRDefault="00D6342E" w:rsidP="00D6342E">
      <w:pPr>
        <w:rPr>
          <w:rFonts w:cstheme="minorHAnsi"/>
          <w:b/>
          <w:lang w:val="en-GB"/>
        </w:rPr>
      </w:pPr>
      <w:proofErr w:type="spellStart"/>
      <w:r w:rsidRPr="00D6342E">
        <w:rPr>
          <w:rFonts w:cstheme="minorHAnsi"/>
          <w:b/>
          <w:lang w:val="en-GB"/>
        </w:rPr>
        <w:lastRenderedPageBreak/>
        <w:t>Indicateur</w:t>
      </w:r>
      <w:proofErr w:type="spellEnd"/>
      <w:r w:rsidRPr="00D6342E">
        <w:rPr>
          <w:rFonts w:cstheme="minorHAnsi"/>
          <w:b/>
          <w:lang w:val="en-GB"/>
        </w:rPr>
        <w:t xml:space="preserve"> </w:t>
      </w:r>
      <w:proofErr w:type="gramStart"/>
      <w:r w:rsidRPr="00D6342E">
        <w:rPr>
          <w:rFonts w:cstheme="minorHAnsi"/>
          <w:b/>
          <w:lang w:val="en-GB"/>
        </w:rPr>
        <w:t>IRRF :</w:t>
      </w:r>
      <w:proofErr w:type="gramEnd"/>
      <w:r w:rsidRPr="00D6342E">
        <w:rPr>
          <w:rFonts w:cstheme="minorHAnsi"/>
          <w:b/>
          <w:lang w:val="en-GB"/>
        </w:rPr>
        <w:t xml:space="preserve"> </w:t>
      </w:r>
      <w:r w:rsidRPr="00D6342E">
        <w:rPr>
          <w:rFonts w:cstheme="minorHAnsi"/>
          <w:lang w:val="en-GB"/>
        </w:rPr>
        <w:t xml:space="preserve">Natural resources that are managed under a sustainable use, conservation, access and benefit-sharing regime: </w:t>
      </w:r>
      <w:r w:rsidRPr="00D6342E">
        <w:rPr>
          <w:rFonts w:cstheme="minorHAnsi"/>
          <w:b/>
          <w:lang w:val="en-GB"/>
        </w:rPr>
        <w:t xml:space="preserve">d) Area under </w:t>
      </w:r>
      <w:proofErr w:type="spellStart"/>
      <w:r w:rsidRPr="00D6342E">
        <w:rPr>
          <w:rFonts w:cstheme="minorHAnsi"/>
          <w:b/>
          <w:lang w:val="en-GB"/>
        </w:rPr>
        <w:t>sustainble</w:t>
      </w:r>
      <w:proofErr w:type="spellEnd"/>
      <w:r w:rsidRPr="00D6342E">
        <w:rPr>
          <w:rFonts w:cstheme="minorHAnsi"/>
          <w:b/>
          <w:lang w:val="en-GB"/>
        </w:rPr>
        <w:t xml:space="preserve"> forest management (hectares) </w:t>
      </w:r>
    </w:p>
    <w:p w14:paraId="2E12805A" w14:textId="09B93765" w:rsidR="00D6342E" w:rsidRDefault="00D970D6" w:rsidP="00D6342E">
      <w:pPr>
        <w:rPr>
          <w:rFonts w:cstheme="minorHAnsi"/>
        </w:rPr>
      </w:pPr>
      <w:r>
        <w:rPr>
          <w:rFonts w:cstheme="minorHAnsi"/>
        </w:rPr>
        <w:t xml:space="preserve">(i) APC créée : </w:t>
      </w:r>
      <w:r w:rsidR="00D6342E" w:rsidRPr="00D6342E">
        <w:rPr>
          <w:rFonts w:cstheme="minorHAnsi"/>
        </w:rPr>
        <w:t>Baseline (2017) = 0</w:t>
      </w:r>
      <w:r w:rsidR="00D6342E" w:rsidRPr="00D6342E">
        <w:rPr>
          <w:rFonts w:cstheme="minorHAnsi"/>
        </w:rPr>
        <w:tab/>
      </w:r>
      <w:r>
        <w:rPr>
          <w:rFonts w:cstheme="minorHAnsi"/>
        </w:rPr>
        <w:t xml:space="preserve"> </w:t>
      </w:r>
      <w:r w:rsidR="00D6342E" w:rsidRPr="00D6342E">
        <w:rPr>
          <w:rFonts w:cstheme="minorHAnsi"/>
        </w:rPr>
        <w:t>Cible (2019) = 0</w:t>
      </w:r>
      <w:r>
        <w:rPr>
          <w:rFonts w:cstheme="minorHAnsi"/>
        </w:rPr>
        <w:t xml:space="preserve">   </w:t>
      </w:r>
      <w:r w:rsidR="00D6342E" w:rsidRPr="00D6342E">
        <w:rPr>
          <w:rFonts w:cstheme="minorHAnsi"/>
        </w:rPr>
        <w:t>Cible (2020) = 0</w:t>
      </w:r>
      <w:r>
        <w:rPr>
          <w:rFonts w:cstheme="minorHAnsi"/>
        </w:rPr>
        <w:t xml:space="preserve">   </w:t>
      </w:r>
      <w:r w:rsidR="00D6342E" w:rsidRPr="00D6342E">
        <w:rPr>
          <w:rFonts w:cstheme="minorHAnsi"/>
        </w:rPr>
        <w:t>Cible (202</w:t>
      </w:r>
      <w:r>
        <w:rPr>
          <w:rFonts w:cstheme="minorHAnsi"/>
        </w:rPr>
        <w:t>2</w:t>
      </w:r>
      <w:r w:rsidR="00D6342E" w:rsidRPr="00D6342E">
        <w:rPr>
          <w:rFonts w:cstheme="minorHAnsi"/>
        </w:rPr>
        <w:t xml:space="preserve">) = </w:t>
      </w:r>
      <w:r>
        <w:rPr>
          <w:rFonts w:cstheme="minorHAnsi"/>
        </w:rPr>
        <w:t>100 </w:t>
      </w:r>
      <w:r w:rsidR="00D6342E" w:rsidRPr="00D6342E">
        <w:rPr>
          <w:rFonts w:cstheme="minorHAnsi"/>
        </w:rPr>
        <w:t>000</w:t>
      </w:r>
    </w:p>
    <w:p w14:paraId="7D0D1A91" w14:textId="70416221" w:rsidR="00D970D6" w:rsidRDefault="00D970D6" w:rsidP="00D6342E">
      <w:pPr>
        <w:rPr>
          <w:rFonts w:cstheme="minorHAnsi"/>
        </w:rPr>
      </w:pPr>
      <w:r>
        <w:rPr>
          <w:rFonts w:cstheme="minorHAnsi"/>
        </w:rPr>
        <w:t>(</w:t>
      </w:r>
      <w:proofErr w:type="gramStart"/>
      <w:r>
        <w:rPr>
          <w:rFonts w:cstheme="minorHAnsi"/>
        </w:rPr>
        <w:t>ii</w:t>
      </w:r>
      <w:proofErr w:type="gramEnd"/>
      <w:r>
        <w:rPr>
          <w:rFonts w:cstheme="minorHAnsi"/>
        </w:rPr>
        <w:t>)Forêt denses sèches sécurisées</w:t>
      </w:r>
      <w:r w:rsidRPr="00D970D6">
        <w:rPr>
          <w:rFonts w:cstheme="minorHAnsi"/>
        </w:rPr>
        <w:t xml:space="preserve"> : Baseline (2017) = 0</w:t>
      </w:r>
      <w:r w:rsidRPr="00D970D6">
        <w:rPr>
          <w:rFonts w:cstheme="minorHAnsi"/>
        </w:rPr>
        <w:tab/>
        <w:t xml:space="preserve"> Cible (2019) = 0  </w:t>
      </w:r>
      <w:r>
        <w:rPr>
          <w:rFonts w:cstheme="minorHAnsi"/>
        </w:rPr>
        <w:t xml:space="preserve"> </w:t>
      </w:r>
      <w:r w:rsidRPr="00D970D6">
        <w:rPr>
          <w:rFonts w:cstheme="minorHAnsi"/>
        </w:rPr>
        <w:t xml:space="preserve">Cible (2020) = 0 </w:t>
      </w:r>
      <w:r>
        <w:rPr>
          <w:rFonts w:cstheme="minorHAnsi"/>
        </w:rPr>
        <w:t xml:space="preserve">  </w:t>
      </w:r>
      <w:r w:rsidRPr="00D970D6">
        <w:rPr>
          <w:rFonts w:cstheme="minorHAnsi"/>
        </w:rPr>
        <w:t>Cible (202</w:t>
      </w:r>
      <w:r>
        <w:rPr>
          <w:rFonts w:cstheme="minorHAnsi"/>
        </w:rPr>
        <w:t>2</w:t>
      </w:r>
      <w:r w:rsidRPr="00D970D6">
        <w:rPr>
          <w:rFonts w:cstheme="minorHAnsi"/>
        </w:rPr>
        <w:t xml:space="preserve">) = </w:t>
      </w:r>
      <w:r>
        <w:rPr>
          <w:rFonts w:cstheme="minorHAnsi"/>
        </w:rPr>
        <w:t>20</w:t>
      </w:r>
      <w:r w:rsidRPr="00D970D6">
        <w:rPr>
          <w:rFonts w:cstheme="minorHAnsi"/>
        </w:rPr>
        <w:t xml:space="preserve"> 000</w:t>
      </w:r>
    </w:p>
    <w:p w14:paraId="16D2D26B" w14:textId="19BB33F7" w:rsidR="00D6342E" w:rsidRPr="00D6342E" w:rsidRDefault="00D6342E" w:rsidP="00D6342E">
      <w:pPr>
        <w:rPr>
          <w:rFonts w:cstheme="minorHAnsi"/>
        </w:rPr>
      </w:pPr>
      <w:r w:rsidRPr="00D6342E">
        <w:rPr>
          <w:rFonts w:cstheme="minorHAnsi"/>
        </w:rPr>
        <w:t>Valeur actuelle (201</w:t>
      </w:r>
      <w:r>
        <w:rPr>
          <w:rFonts w:cstheme="minorHAnsi"/>
        </w:rPr>
        <w:t>9</w:t>
      </w:r>
      <w:r w:rsidRPr="00D6342E">
        <w:rPr>
          <w:rFonts w:cstheme="minorHAnsi"/>
        </w:rPr>
        <w:t xml:space="preserve">) : </w:t>
      </w:r>
      <w:r w:rsidR="00D970D6">
        <w:rPr>
          <w:rFonts w:cstheme="minorHAnsi"/>
        </w:rPr>
        <w:t>(i) 131 907 Ha pour la superficie total des 07 APC et (ii) 24 610 Ha de forêts denses sèches sécurisées (Noyau Dur des 07 APC)</w:t>
      </w:r>
      <w:r w:rsidRPr="00D6342E">
        <w:rPr>
          <w:rFonts w:cstheme="minorHAnsi"/>
        </w:rPr>
        <w:t xml:space="preserve"> (</w:t>
      </w:r>
      <w:r w:rsidRPr="00D6342E">
        <w:rPr>
          <w:rFonts w:cstheme="minorHAnsi"/>
          <w:i/>
        </w:rPr>
        <w:t xml:space="preserve">on </w:t>
      </w:r>
      <w:proofErr w:type="spellStart"/>
      <w:r w:rsidRPr="00D6342E">
        <w:rPr>
          <w:rFonts w:cstheme="minorHAnsi"/>
          <w:i/>
        </w:rPr>
        <w:t>track</w:t>
      </w:r>
      <w:proofErr w:type="spellEnd"/>
      <w:r w:rsidRPr="00D6342E">
        <w:rPr>
          <w:rFonts w:cstheme="minorHAnsi"/>
        </w:rPr>
        <w:t xml:space="preserve">). </w:t>
      </w:r>
      <w:r w:rsidR="00D970D6">
        <w:rPr>
          <w:rFonts w:cstheme="minorHAnsi"/>
        </w:rPr>
        <w:t xml:space="preserve">Les valeurs définitives des superficies seront connues à la sortie des décrets de création définitive des 07 AC en 2022. </w:t>
      </w:r>
      <w:r w:rsidRPr="00D6342E">
        <w:rPr>
          <w:rFonts w:cstheme="minorHAnsi"/>
        </w:rPr>
        <w:t>On peut considérer qu’il s’agit de la superficie reprise ci-dessous dans les Indicateurs du PTA, indicateur 1 : APC renforcées ou créées dans des écosystèmes vulnérables (autour des AP ou les corridors forestiers) du Résultat d’activités 2.</w:t>
      </w:r>
    </w:p>
    <w:p w14:paraId="0153F7C3" w14:textId="77777777" w:rsidR="002A6C69" w:rsidRPr="00F55BDF" w:rsidRDefault="002A6C69" w:rsidP="002A6C69">
      <w:pPr>
        <w:pStyle w:val="ListParagraph"/>
        <w:numPr>
          <w:ilvl w:val="0"/>
          <w:numId w:val="6"/>
        </w:numPr>
        <w:rPr>
          <w:b/>
          <w:u w:val="single"/>
          <w:lang w:val="fr-FR"/>
        </w:rPr>
      </w:pPr>
      <w:r w:rsidRPr="00F55BDF">
        <w:rPr>
          <w:b/>
          <w:u w:val="single"/>
          <w:lang w:val="fr-FR"/>
        </w:rPr>
        <w:t>Spécifier les groupes cibles et les zones d’intervention :</w:t>
      </w:r>
    </w:p>
    <w:p w14:paraId="0D54B7E1" w14:textId="77777777" w:rsidR="002A6C69" w:rsidRPr="00F55BDF" w:rsidRDefault="002A6C69" w:rsidP="002A6C69">
      <w:pPr>
        <w:pStyle w:val="ListParagraph"/>
        <w:rPr>
          <w:b/>
          <w:lang w:val="fr-FR"/>
        </w:rPr>
      </w:pPr>
    </w:p>
    <w:tbl>
      <w:tblPr>
        <w:tblStyle w:val="TableGrid"/>
        <w:tblW w:w="0" w:type="auto"/>
        <w:tblInd w:w="720" w:type="dxa"/>
        <w:tblLook w:val="04A0" w:firstRow="1" w:lastRow="0" w:firstColumn="1" w:lastColumn="0" w:noHBand="0" w:noVBand="1"/>
      </w:tblPr>
      <w:tblGrid>
        <w:gridCol w:w="2086"/>
        <w:gridCol w:w="2085"/>
        <w:gridCol w:w="2085"/>
        <w:gridCol w:w="2086"/>
      </w:tblGrid>
      <w:tr w:rsidR="002A6C69" w:rsidRPr="00D970D6" w14:paraId="6433A060" w14:textId="77777777" w:rsidTr="00A11140">
        <w:tc>
          <w:tcPr>
            <w:tcW w:w="2086" w:type="dxa"/>
          </w:tcPr>
          <w:p w14:paraId="061EE386" w14:textId="77777777" w:rsidR="002A6C69" w:rsidRPr="00D970D6" w:rsidRDefault="002A6C69" w:rsidP="00A331FA">
            <w:pPr>
              <w:pStyle w:val="ListParagraph"/>
              <w:ind w:left="0"/>
              <w:rPr>
                <w:b/>
                <w:sz w:val="20"/>
                <w:szCs w:val="20"/>
                <w:lang w:val="fr-FR"/>
              </w:rPr>
            </w:pPr>
            <w:r w:rsidRPr="00D970D6">
              <w:rPr>
                <w:b/>
                <w:sz w:val="20"/>
                <w:szCs w:val="20"/>
                <w:lang w:val="fr-FR"/>
              </w:rPr>
              <w:t>Domaines d’intervention</w:t>
            </w:r>
          </w:p>
        </w:tc>
        <w:tc>
          <w:tcPr>
            <w:tcW w:w="2085" w:type="dxa"/>
          </w:tcPr>
          <w:p w14:paraId="6A0B2DCF" w14:textId="77777777" w:rsidR="002A6C69" w:rsidRPr="00D970D6" w:rsidRDefault="002A6C69" w:rsidP="00A331FA">
            <w:pPr>
              <w:pStyle w:val="ListParagraph"/>
              <w:ind w:left="0"/>
              <w:rPr>
                <w:b/>
                <w:sz w:val="20"/>
                <w:szCs w:val="20"/>
                <w:lang w:val="fr-FR"/>
              </w:rPr>
            </w:pPr>
            <w:r w:rsidRPr="00D970D6">
              <w:rPr>
                <w:b/>
                <w:sz w:val="20"/>
                <w:szCs w:val="20"/>
                <w:lang w:val="fr-FR"/>
              </w:rPr>
              <w:t>Zones d’intervention</w:t>
            </w:r>
          </w:p>
        </w:tc>
        <w:tc>
          <w:tcPr>
            <w:tcW w:w="2085" w:type="dxa"/>
          </w:tcPr>
          <w:p w14:paraId="49E94124" w14:textId="77777777" w:rsidR="002A6C69" w:rsidRPr="00D970D6" w:rsidRDefault="002A6C69" w:rsidP="00A331FA">
            <w:pPr>
              <w:pStyle w:val="ListParagraph"/>
              <w:ind w:left="0"/>
              <w:rPr>
                <w:b/>
                <w:sz w:val="20"/>
                <w:szCs w:val="20"/>
                <w:lang w:val="fr-FR"/>
              </w:rPr>
            </w:pPr>
            <w:r w:rsidRPr="00D970D6">
              <w:rPr>
                <w:b/>
                <w:sz w:val="20"/>
                <w:szCs w:val="20"/>
                <w:lang w:val="fr-FR"/>
              </w:rPr>
              <w:t>Groupes cibles</w:t>
            </w:r>
          </w:p>
        </w:tc>
        <w:tc>
          <w:tcPr>
            <w:tcW w:w="2086" w:type="dxa"/>
          </w:tcPr>
          <w:p w14:paraId="1474E9A2" w14:textId="77777777" w:rsidR="002A6C69" w:rsidRPr="00D970D6" w:rsidRDefault="002A6C69" w:rsidP="00A331FA">
            <w:pPr>
              <w:pStyle w:val="ListParagraph"/>
              <w:ind w:left="0"/>
              <w:rPr>
                <w:b/>
                <w:sz w:val="20"/>
                <w:szCs w:val="20"/>
                <w:lang w:val="fr-FR"/>
              </w:rPr>
            </w:pPr>
            <w:r w:rsidRPr="00D970D6">
              <w:rPr>
                <w:b/>
                <w:sz w:val="20"/>
                <w:szCs w:val="20"/>
                <w:lang w:val="fr-FR"/>
              </w:rPr>
              <w:t>Observations (nombre de bénéficiaires, …)</w:t>
            </w:r>
          </w:p>
        </w:tc>
      </w:tr>
      <w:tr w:rsidR="00A11140" w:rsidRPr="00A11140" w14:paraId="1ED7CE76" w14:textId="77777777" w:rsidTr="00A11140">
        <w:tc>
          <w:tcPr>
            <w:tcW w:w="2086" w:type="dxa"/>
          </w:tcPr>
          <w:p w14:paraId="2B9C6961" w14:textId="7CF0F0B4" w:rsidR="00A11140" w:rsidRPr="00D970D6" w:rsidRDefault="00A11140" w:rsidP="00A331FA">
            <w:pPr>
              <w:pStyle w:val="ListParagraph"/>
              <w:ind w:left="0"/>
              <w:rPr>
                <w:bCs/>
                <w:sz w:val="20"/>
                <w:szCs w:val="20"/>
                <w:lang w:val="fr-FR"/>
              </w:rPr>
            </w:pPr>
            <w:r w:rsidRPr="00D970D6">
              <w:rPr>
                <w:bCs/>
                <w:sz w:val="20"/>
                <w:szCs w:val="20"/>
                <w:lang w:val="fr-FR"/>
              </w:rPr>
              <w:t>(i) APC créée</w:t>
            </w:r>
          </w:p>
        </w:tc>
        <w:tc>
          <w:tcPr>
            <w:tcW w:w="2085" w:type="dxa"/>
            <w:vMerge w:val="restart"/>
          </w:tcPr>
          <w:p w14:paraId="0402B22A" w14:textId="77777777" w:rsidR="00A11140" w:rsidRDefault="00A11140" w:rsidP="00A331FA">
            <w:pPr>
              <w:pStyle w:val="ListParagraph"/>
              <w:ind w:left="0"/>
              <w:rPr>
                <w:bCs/>
                <w:sz w:val="20"/>
                <w:szCs w:val="20"/>
                <w:lang w:val="fr-FR"/>
              </w:rPr>
            </w:pPr>
          </w:p>
          <w:p w14:paraId="33485D1B" w14:textId="77777777" w:rsidR="00A11140" w:rsidRDefault="00A11140" w:rsidP="00A331FA">
            <w:pPr>
              <w:pStyle w:val="ListParagraph"/>
              <w:ind w:left="0"/>
              <w:rPr>
                <w:bCs/>
                <w:sz w:val="20"/>
                <w:szCs w:val="20"/>
                <w:lang w:val="fr-FR"/>
              </w:rPr>
            </w:pPr>
          </w:p>
          <w:p w14:paraId="2A83744C" w14:textId="11533334" w:rsidR="00A11140" w:rsidRPr="00A11140" w:rsidRDefault="00A11140" w:rsidP="00A331FA">
            <w:pPr>
              <w:pStyle w:val="ListParagraph"/>
              <w:ind w:left="0"/>
              <w:rPr>
                <w:bCs/>
                <w:sz w:val="20"/>
                <w:szCs w:val="20"/>
                <w:lang w:val="fr-FR"/>
              </w:rPr>
            </w:pPr>
            <w:r>
              <w:rPr>
                <w:bCs/>
                <w:sz w:val="20"/>
                <w:szCs w:val="20"/>
                <w:lang w:val="fr-FR"/>
              </w:rPr>
              <w:t xml:space="preserve">Région </w:t>
            </w:r>
            <w:proofErr w:type="spellStart"/>
            <w:r>
              <w:rPr>
                <w:bCs/>
                <w:sz w:val="20"/>
                <w:szCs w:val="20"/>
                <w:lang w:val="fr-FR"/>
              </w:rPr>
              <w:t>Atsimo</w:t>
            </w:r>
            <w:proofErr w:type="spellEnd"/>
            <w:r>
              <w:rPr>
                <w:bCs/>
                <w:sz w:val="20"/>
                <w:szCs w:val="20"/>
                <w:lang w:val="fr-FR"/>
              </w:rPr>
              <w:t xml:space="preserve"> </w:t>
            </w:r>
            <w:proofErr w:type="spellStart"/>
            <w:r>
              <w:rPr>
                <w:bCs/>
                <w:sz w:val="20"/>
                <w:szCs w:val="20"/>
                <w:lang w:val="fr-FR"/>
              </w:rPr>
              <w:t>Andrefana</w:t>
            </w:r>
            <w:proofErr w:type="spellEnd"/>
            <w:r>
              <w:rPr>
                <w:bCs/>
                <w:sz w:val="20"/>
                <w:szCs w:val="20"/>
                <w:lang w:val="fr-FR"/>
              </w:rPr>
              <w:t xml:space="preserve">                    </w:t>
            </w:r>
            <w:r w:rsidRPr="00A11140">
              <w:rPr>
                <w:bCs/>
                <w:sz w:val="20"/>
                <w:szCs w:val="20"/>
                <w:lang w:val="fr-FR"/>
              </w:rPr>
              <w:t xml:space="preserve">03 Districts : </w:t>
            </w:r>
            <w:proofErr w:type="spellStart"/>
            <w:r w:rsidRPr="00A11140">
              <w:rPr>
                <w:bCs/>
                <w:sz w:val="20"/>
                <w:szCs w:val="20"/>
                <w:lang w:val="fr-FR"/>
              </w:rPr>
              <w:t>Betioky</w:t>
            </w:r>
            <w:proofErr w:type="spellEnd"/>
            <w:r w:rsidRPr="00A11140">
              <w:rPr>
                <w:bCs/>
                <w:sz w:val="20"/>
                <w:szCs w:val="20"/>
                <w:lang w:val="fr-FR"/>
              </w:rPr>
              <w:t xml:space="preserve"> SUD, </w:t>
            </w:r>
            <w:proofErr w:type="spellStart"/>
            <w:r w:rsidRPr="00A11140">
              <w:rPr>
                <w:bCs/>
                <w:sz w:val="20"/>
                <w:szCs w:val="20"/>
                <w:lang w:val="fr-FR"/>
              </w:rPr>
              <w:t>Morombe</w:t>
            </w:r>
            <w:proofErr w:type="spellEnd"/>
            <w:r w:rsidRPr="00A11140">
              <w:rPr>
                <w:bCs/>
                <w:sz w:val="20"/>
                <w:szCs w:val="20"/>
                <w:lang w:val="fr-FR"/>
              </w:rPr>
              <w:t>, Toliara</w:t>
            </w:r>
            <w:r>
              <w:rPr>
                <w:bCs/>
                <w:sz w:val="20"/>
                <w:szCs w:val="20"/>
                <w:lang w:val="fr-FR"/>
              </w:rPr>
              <w:t xml:space="preserve"> II (25 Fokontany)</w:t>
            </w:r>
          </w:p>
        </w:tc>
        <w:tc>
          <w:tcPr>
            <w:tcW w:w="2085" w:type="dxa"/>
            <w:vMerge w:val="restart"/>
          </w:tcPr>
          <w:p w14:paraId="512C3AC8" w14:textId="77777777" w:rsidR="00A11140" w:rsidRDefault="00A11140" w:rsidP="00A331FA">
            <w:pPr>
              <w:pStyle w:val="ListParagraph"/>
              <w:ind w:left="0"/>
              <w:rPr>
                <w:bCs/>
                <w:sz w:val="20"/>
                <w:szCs w:val="20"/>
                <w:lang w:val="fr-FR"/>
              </w:rPr>
            </w:pPr>
          </w:p>
          <w:p w14:paraId="7F70D645" w14:textId="77777777" w:rsidR="00A11140" w:rsidRDefault="00A11140" w:rsidP="00A331FA">
            <w:pPr>
              <w:pStyle w:val="ListParagraph"/>
              <w:ind w:left="0"/>
              <w:rPr>
                <w:bCs/>
                <w:sz w:val="20"/>
                <w:szCs w:val="20"/>
                <w:lang w:val="fr-FR"/>
              </w:rPr>
            </w:pPr>
          </w:p>
          <w:p w14:paraId="6DD5EF0E" w14:textId="77777777" w:rsidR="00A11140" w:rsidRDefault="00A11140" w:rsidP="00A331FA">
            <w:pPr>
              <w:pStyle w:val="ListParagraph"/>
              <w:ind w:left="0"/>
              <w:rPr>
                <w:bCs/>
                <w:sz w:val="20"/>
                <w:szCs w:val="20"/>
                <w:lang w:val="fr-FR"/>
              </w:rPr>
            </w:pPr>
          </w:p>
          <w:p w14:paraId="10115B15" w14:textId="26D8FFB1" w:rsidR="00A11140" w:rsidRPr="00A11140" w:rsidRDefault="00A11140" w:rsidP="00A331FA">
            <w:pPr>
              <w:pStyle w:val="ListParagraph"/>
              <w:ind w:left="0"/>
              <w:rPr>
                <w:bCs/>
                <w:sz w:val="20"/>
                <w:szCs w:val="20"/>
                <w:lang w:val="fr-FR"/>
              </w:rPr>
            </w:pPr>
            <w:r>
              <w:rPr>
                <w:bCs/>
                <w:sz w:val="20"/>
                <w:szCs w:val="20"/>
                <w:lang w:val="fr-FR"/>
              </w:rPr>
              <w:t xml:space="preserve">Communautés locales vivant autour des 07 APC : </w:t>
            </w:r>
          </w:p>
        </w:tc>
        <w:tc>
          <w:tcPr>
            <w:tcW w:w="2086" w:type="dxa"/>
          </w:tcPr>
          <w:p w14:paraId="04DFF572" w14:textId="4629D220" w:rsidR="00A11140" w:rsidRPr="00A11140" w:rsidRDefault="00A11140" w:rsidP="00A331FA">
            <w:pPr>
              <w:pStyle w:val="ListParagraph"/>
              <w:ind w:left="0"/>
              <w:rPr>
                <w:bCs/>
                <w:sz w:val="20"/>
                <w:szCs w:val="20"/>
                <w:lang w:val="fr-FR"/>
              </w:rPr>
            </w:pPr>
            <w:r>
              <w:rPr>
                <w:bCs/>
                <w:sz w:val="20"/>
                <w:szCs w:val="20"/>
                <w:lang w:val="fr-FR"/>
              </w:rPr>
              <w:t>A déterminer (le nombre des Personnes Affectées par le Projet PAP). Objectif 2022 : 100 000 Ha</w:t>
            </w:r>
          </w:p>
        </w:tc>
      </w:tr>
      <w:tr w:rsidR="00A11140" w:rsidRPr="00D970D6" w14:paraId="40BB3E60" w14:textId="77777777" w:rsidTr="00A11140">
        <w:tc>
          <w:tcPr>
            <w:tcW w:w="2086" w:type="dxa"/>
          </w:tcPr>
          <w:p w14:paraId="5818599C" w14:textId="4B8E4FE6" w:rsidR="00A11140" w:rsidRPr="00D970D6" w:rsidRDefault="00A11140" w:rsidP="00A331FA">
            <w:pPr>
              <w:pStyle w:val="ListParagraph"/>
              <w:ind w:left="0"/>
              <w:rPr>
                <w:bCs/>
                <w:sz w:val="20"/>
                <w:szCs w:val="20"/>
                <w:lang w:val="fr-FR"/>
              </w:rPr>
            </w:pPr>
            <w:r w:rsidRPr="00D970D6">
              <w:rPr>
                <w:bCs/>
                <w:sz w:val="20"/>
                <w:szCs w:val="20"/>
                <w:lang w:val="fr-FR"/>
              </w:rPr>
              <w:t>(</w:t>
            </w:r>
            <w:proofErr w:type="gramStart"/>
            <w:r w:rsidRPr="00D970D6">
              <w:rPr>
                <w:bCs/>
                <w:sz w:val="20"/>
                <w:szCs w:val="20"/>
                <w:lang w:val="fr-FR"/>
              </w:rPr>
              <w:t>ii</w:t>
            </w:r>
            <w:proofErr w:type="gramEnd"/>
            <w:r w:rsidRPr="00D970D6">
              <w:rPr>
                <w:bCs/>
                <w:sz w:val="20"/>
                <w:szCs w:val="20"/>
                <w:lang w:val="fr-FR"/>
              </w:rPr>
              <w:t>)Forêt denses sèches sécurisées</w:t>
            </w:r>
          </w:p>
        </w:tc>
        <w:tc>
          <w:tcPr>
            <w:tcW w:w="2085" w:type="dxa"/>
            <w:vMerge/>
          </w:tcPr>
          <w:p w14:paraId="3932A038" w14:textId="77777777" w:rsidR="00A11140" w:rsidRPr="00D970D6" w:rsidRDefault="00A11140" w:rsidP="00A331FA">
            <w:pPr>
              <w:pStyle w:val="ListParagraph"/>
              <w:ind w:left="0"/>
              <w:rPr>
                <w:bCs/>
                <w:sz w:val="20"/>
                <w:szCs w:val="20"/>
                <w:lang w:val="fr-FR"/>
              </w:rPr>
            </w:pPr>
          </w:p>
        </w:tc>
        <w:tc>
          <w:tcPr>
            <w:tcW w:w="2085" w:type="dxa"/>
            <w:vMerge/>
          </w:tcPr>
          <w:p w14:paraId="6639696C" w14:textId="77777777" w:rsidR="00A11140" w:rsidRPr="00D970D6" w:rsidRDefault="00A11140" w:rsidP="00A331FA">
            <w:pPr>
              <w:pStyle w:val="ListParagraph"/>
              <w:ind w:left="0"/>
              <w:rPr>
                <w:bCs/>
                <w:sz w:val="20"/>
                <w:szCs w:val="20"/>
                <w:lang w:val="fr-FR"/>
              </w:rPr>
            </w:pPr>
          </w:p>
        </w:tc>
        <w:tc>
          <w:tcPr>
            <w:tcW w:w="2086" w:type="dxa"/>
          </w:tcPr>
          <w:p w14:paraId="438E2F59" w14:textId="112BF347" w:rsidR="00A11140" w:rsidRPr="00D970D6" w:rsidRDefault="00A11140" w:rsidP="00A331FA">
            <w:pPr>
              <w:pStyle w:val="ListParagraph"/>
              <w:ind w:left="0"/>
              <w:rPr>
                <w:bCs/>
                <w:sz w:val="20"/>
                <w:szCs w:val="20"/>
                <w:lang w:val="fr-FR"/>
              </w:rPr>
            </w:pPr>
            <w:r>
              <w:rPr>
                <w:bCs/>
                <w:sz w:val="20"/>
                <w:szCs w:val="20"/>
                <w:lang w:val="fr-FR"/>
              </w:rPr>
              <w:t xml:space="preserve">Objectif 2022 : 20 000 Ha </w:t>
            </w:r>
          </w:p>
        </w:tc>
      </w:tr>
    </w:tbl>
    <w:p w14:paraId="6A54C8EE" w14:textId="77777777" w:rsidR="002A6C69" w:rsidRPr="00F55BDF" w:rsidRDefault="002A6C69" w:rsidP="002A6C69">
      <w:pPr>
        <w:pStyle w:val="ListParagraph"/>
        <w:rPr>
          <w:b/>
          <w:lang w:val="fr-FR"/>
        </w:rPr>
      </w:pPr>
    </w:p>
    <w:p w14:paraId="51AD4D6B" w14:textId="53095205" w:rsidR="002A6C69" w:rsidRPr="00F55BDF" w:rsidRDefault="002A6C69" w:rsidP="002A6C69">
      <w:pPr>
        <w:pStyle w:val="ListParagraph"/>
        <w:numPr>
          <w:ilvl w:val="0"/>
          <w:numId w:val="6"/>
        </w:numPr>
        <w:rPr>
          <w:b/>
          <w:u w:val="single"/>
          <w:lang w:val="fr-FR"/>
        </w:rPr>
      </w:pPr>
      <w:r w:rsidRPr="00F55BDF">
        <w:rPr>
          <w:b/>
          <w:u w:val="single"/>
          <w:lang w:val="fr-FR"/>
        </w:rPr>
        <w:t xml:space="preserve">Grandes réalisations et résultats marquants dans </w:t>
      </w:r>
      <w:r w:rsidR="00950C2F" w:rsidRPr="00F55BDF">
        <w:rPr>
          <w:b/>
          <w:u w:val="single"/>
          <w:lang w:val="fr-FR"/>
        </w:rPr>
        <w:t>ce produit</w:t>
      </w:r>
      <w:r w:rsidRPr="00F55BDF">
        <w:rPr>
          <w:b/>
          <w:u w:val="single"/>
          <w:lang w:val="fr-FR"/>
        </w:rPr>
        <w:t xml:space="preserve"> (facteurs explicatifs, résultats chiffrés, de nouveaux indicateurs pertinents peuvent être rajoutés) : </w:t>
      </w:r>
    </w:p>
    <w:p w14:paraId="007FDE7D" w14:textId="77777777" w:rsidR="002A6C69" w:rsidRPr="00F55BDF" w:rsidRDefault="002A6C69" w:rsidP="002A6C69">
      <w:pPr>
        <w:pStyle w:val="ListParagraph"/>
        <w:rPr>
          <w:b/>
          <w:lang w:val="fr-FR"/>
        </w:rPr>
      </w:pPr>
    </w:p>
    <w:tbl>
      <w:tblPr>
        <w:tblStyle w:val="TableGrid"/>
        <w:tblW w:w="9214" w:type="dxa"/>
        <w:tblInd w:w="137" w:type="dxa"/>
        <w:tblLook w:val="04A0" w:firstRow="1" w:lastRow="0" w:firstColumn="1" w:lastColumn="0" w:noHBand="0" w:noVBand="1"/>
      </w:tblPr>
      <w:tblGrid>
        <w:gridCol w:w="1843"/>
        <w:gridCol w:w="2184"/>
        <w:gridCol w:w="1785"/>
        <w:gridCol w:w="1701"/>
        <w:gridCol w:w="1701"/>
      </w:tblGrid>
      <w:tr w:rsidR="002A6C69" w:rsidRPr="00D970D6" w14:paraId="0AFD11C3" w14:textId="77777777" w:rsidTr="00A331FA">
        <w:tc>
          <w:tcPr>
            <w:tcW w:w="1843" w:type="dxa"/>
          </w:tcPr>
          <w:p w14:paraId="44870201" w14:textId="77777777" w:rsidR="002A6C69" w:rsidRPr="00D970D6" w:rsidRDefault="002A6C69" w:rsidP="00A331FA">
            <w:pPr>
              <w:pStyle w:val="ListParagraph"/>
              <w:ind w:left="0"/>
              <w:rPr>
                <w:b/>
                <w:sz w:val="20"/>
                <w:szCs w:val="20"/>
                <w:lang w:val="fr-FR"/>
              </w:rPr>
            </w:pPr>
            <w:r w:rsidRPr="00D970D6">
              <w:rPr>
                <w:b/>
                <w:sz w:val="20"/>
                <w:szCs w:val="20"/>
                <w:lang w:val="fr-FR"/>
              </w:rPr>
              <w:t>Domaines d’intervention / d’activité</w:t>
            </w:r>
          </w:p>
        </w:tc>
        <w:tc>
          <w:tcPr>
            <w:tcW w:w="2184" w:type="dxa"/>
          </w:tcPr>
          <w:p w14:paraId="0A64BABB" w14:textId="77777777" w:rsidR="002A6C69" w:rsidRPr="00D970D6" w:rsidRDefault="002A6C69" w:rsidP="00A331FA">
            <w:pPr>
              <w:pStyle w:val="ListParagraph"/>
              <w:ind w:left="0"/>
              <w:rPr>
                <w:b/>
                <w:sz w:val="20"/>
                <w:szCs w:val="20"/>
                <w:lang w:val="fr-FR"/>
              </w:rPr>
            </w:pPr>
            <w:r w:rsidRPr="00D970D6">
              <w:rPr>
                <w:b/>
                <w:sz w:val="20"/>
                <w:szCs w:val="20"/>
                <w:lang w:val="fr-FR"/>
              </w:rPr>
              <w:t>Réalisations / résultats (langage de changement) et chiffres à l’appui</w:t>
            </w:r>
          </w:p>
        </w:tc>
        <w:tc>
          <w:tcPr>
            <w:tcW w:w="1785" w:type="dxa"/>
          </w:tcPr>
          <w:p w14:paraId="555C591F" w14:textId="36B2E19D" w:rsidR="002A6C69" w:rsidRPr="00D970D6" w:rsidRDefault="002A6C69" w:rsidP="00A331FA">
            <w:pPr>
              <w:pStyle w:val="ListParagraph"/>
              <w:ind w:left="0"/>
              <w:rPr>
                <w:b/>
                <w:sz w:val="20"/>
                <w:szCs w:val="20"/>
                <w:lang w:val="fr-FR"/>
              </w:rPr>
            </w:pPr>
            <w:r w:rsidRPr="00D970D6">
              <w:rPr>
                <w:b/>
                <w:sz w:val="20"/>
                <w:szCs w:val="20"/>
                <w:lang w:val="fr-FR"/>
              </w:rPr>
              <w:t>Facteurs explicatifs</w:t>
            </w:r>
            <w:r w:rsidR="002A6327" w:rsidRPr="00D970D6">
              <w:rPr>
                <w:b/>
                <w:sz w:val="20"/>
                <w:szCs w:val="20"/>
                <w:lang w:val="fr-FR"/>
              </w:rPr>
              <w:t xml:space="preserve"> (facteur de succès)</w:t>
            </w:r>
          </w:p>
        </w:tc>
        <w:tc>
          <w:tcPr>
            <w:tcW w:w="1701" w:type="dxa"/>
          </w:tcPr>
          <w:p w14:paraId="52D3D526" w14:textId="77777777" w:rsidR="002A6C69" w:rsidRPr="00D970D6" w:rsidRDefault="002A6C69" w:rsidP="00A331FA">
            <w:pPr>
              <w:pStyle w:val="ListParagraph"/>
              <w:ind w:left="0"/>
              <w:rPr>
                <w:b/>
                <w:sz w:val="20"/>
                <w:szCs w:val="20"/>
                <w:lang w:val="fr-FR"/>
              </w:rPr>
            </w:pPr>
            <w:r w:rsidRPr="00D970D6">
              <w:rPr>
                <w:b/>
                <w:sz w:val="20"/>
                <w:szCs w:val="20"/>
                <w:lang w:val="fr-FR"/>
              </w:rPr>
              <w:t xml:space="preserve">Source des données </w:t>
            </w:r>
          </w:p>
        </w:tc>
        <w:tc>
          <w:tcPr>
            <w:tcW w:w="1701" w:type="dxa"/>
          </w:tcPr>
          <w:p w14:paraId="23A4F94F" w14:textId="77777777" w:rsidR="002A6C69" w:rsidRPr="00D970D6" w:rsidRDefault="002A6C69" w:rsidP="00A331FA">
            <w:pPr>
              <w:pStyle w:val="ListParagraph"/>
              <w:ind w:left="0"/>
              <w:rPr>
                <w:b/>
                <w:sz w:val="20"/>
                <w:szCs w:val="20"/>
                <w:lang w:val="fr-FR"/>
              </w:rPr>
            </w:pPr>
            <w:r w:rsidRPr="00D970D6">
              <w:rPr>
                <w:b/>
                <w:sz w:val="20"/>
                <w:szCs w:val="20"/>
                <w:lang w:val="fr-FR"/>
              </w:rPr>
              <w:t>Observations</w:t>
            </w:r>
          </w:p>
        </w:tc>
      </w:tr>
      <w:tr w:rsidR="000E3334" w:rsidRPr="00D970D6" w14:paraId="7857A9F1" w14:textId="77777777" w:rsidTr="00A331FA">
        <w:tc>
          <w:tcPr>
            <w:tcW w:w="1843" w:type="dxa"/>
          </w:tcPr>
          <w:p w14:paraId="299F12F3" w14:textId="420AFB96" w:rsidR="000E3334" w:rsidRPr="00D970D6" w:rsidRDefault="000E3334" w:rsidP="000E3334">
            <w:pPr>
              <w:pStyle w:val="ListParagraph"/>
              <w:spacing w:before="0" w:after="0"/>
              <w:ind w:left="0"/>
              <w:rPr>
                <w:bCs/>
                <w:sz w:val="20"/>
                <w:szCs w:val="20"/>
                <w:lang w:val="fr-FR"/>
              </w:rPr>
            </w:pPr>
            <w:r w:rsidRPr="00D970D6">
              <w:rPr>
                <w:bCs/>
                <w:sz w:val="20"/>
                <w:szCs w:val="20"/>
                <w:lang w:val="fr-FR"/>
              </w:rPr>
              <w:t>(i) APC créée</w:t>
            </w:r>
          </w:p>
        </w:tc>
        <w:tc>
          <w:tcPr>
            <w:tcW w:w="2184" w:type="dxa"/>
          </w:tcPr>
          <w:p w14:paraId="56A6B517" w14:textId="3BD9D4B0" w:rsidR="000E3334" w:rsidRPr="00D970D6" w:rsidRDefault="000E3334" w:rsidP="000E3334">
            <w:pPr>
              <w:pStyle w:val="ListParagraph"/>
              <w:spacing w:before="0" w:after="0"/>
              <w:ind w:left="0"/>
              <w:rPr>
                <w:bCs/>
                <w:sz w:val="20"/>
                <w:szCs w:val="20"/>
                <w:lang w:val="fr-FR"/>
              </w:rPr>
            </w:pPr>
            <w:r>
              <w:rPr>
                <w:bCs/>
                <w:sz w:val="20"/>
                <w:szCs w:val="20"/>
                <w:lang w:val="fr-FR"/>
              </w:rPr>
              <w:t>132 907 ha délimités sans superposition avec les carrés miniers si 100 000 Ha objectif 2022</w:t>
            </w:r>
          </w:p>
        </w:tc>
        <w:tc>
          <w:tcPr>
            <w:tcW w:w="1785" w:type="dxa"/>
            <w:vMerge w:val="restart"/>
          </w:tcPr>
          <w:p w14:paraId="0177322A" w14:textId="77777777" w:rsidR="000E3334" w:rsidRDefault="000E3334" w:rsidP="000E3334">
            <w:pPr>
              <w:rPr>
                <w:bCs/>
                <w:sz w:val="20"/>
                <w:szCs w:val="20"/>
              </w:rPr>
            </w:pPr>
          </w:p>
          <w:p w14:paraId="345DE756" w14:textId="77777777" w:rsidR="000E3334" w:rsidRDefault="000E3334" w:rsidP="000E3334">
            <w:pPr>
              <w:rPr>
                <w:bCs/>
                <w:sz w:val="20"/>
                <w:szCs w:val="20"/>
              </w:rPr>
            </w:pPr>
          </w:p>
          <w:p w14:paraId="0FBFDF2D" w14:textId="77777777" w:rsidR="000E3334" w:rsidRDefault="000E3334" w:rsidP="000E3334">
            <w:pPr>
              <w:rPr>
                <w:bCs/>
                <w:sz w:val="20"/>
                <w:szCs w:val="20"/>
              </w:rPr>
            </w:pPr>
          </w:p>
          <w:p w14:paraId="399C3C37" w14:textId="77777777" w:rsidR="000E3334" w:rsidRDefault="000E3334" w:rsidP="000E3334">
            <w:pPr>
              <w:rPr>
                <w:bCs/>
                <w:sz w:val="20"/>
                <w:szCs w:val="20"/>
              </w:rPr>
            </w:pPr>
          </w:p>
          <w:p w14:paraId="68933F5A" w14:textId="77777777" w:rsidR="000E3334" w:rsidRDefault="000E3334" w:rsidP="000E3334">
            <w:pPr>
              <w:rPr>
                <w:bCs/>
                <w:sz w:val="20"/>
                <w:szCs w:val="20"/>
              </w:rPr>
            </w:pPr>
          </w:p>
          <w:p w14:paraId="70D28970" w14:textId="39BED236" w:rsidR="000E3334" w:rsidRPr="000E3334" w:rsidRDefault="000E3334" w:rsidP="000E3334">
            <w:pPr>
              <w:rPr>
                <w:bCs/>
                <w:sz w:val="20"/>
                <w:szCs w:val="20"/>
              </w:rPr>
            </w:pPr>
            <w:r w:rsidRPr="000E3334">
              <w:rPr>
                <w:bCs/>
                <w:sz w:val="20"/>
                <w:szCs w:val="20"/>
              </w:rPr>
              <w:t>-gestion adaptative face au retard cumulé durant le 1er semestre.</w:t>
            </w:r>
          </w:p>
          <w:p w14:paraId="547E11C4" w14:textId="57EF9023" w:rsidR="000E3334" w:rsidRPr="00D970D6" w:rsidRDefault="000E3334" w:rsidP="000E3334">
            <w:pPr>
              <w:pStyle w:val="ListParagraph"/>
              <w:spacing w:before="0" w:after="0"/>
              <w:ind w:left="0"/>
              <w:rPr>
                <w:bCs/>
                <w:sz w:val="20"/>
                <w:szCs w:val="20"/>
                <w:lang w:val="fr-FR"/>
              </w:rPr>
            </w:pPr>
            <w:r w:rsidRPr="000E3334">
              <w:rPr>
                <w:bCs/>
                <w:sz w:val="20"/>
                <w:szCs w:val="20"/>
                <w:lang w:val="fr-FR"/>
              </w:rPr>
              <w:t>-étroite collaboration avec le Service des AP de la DGRNE du MEDD.</w:t>
            </w:r>
          </w:p>
        </w:tc>
        <w:tc>
          <w:tcPr>
            <w:tcW w:w="1701" w:type="dxa"/>
          </w:tcPr>
          <w:p w14:paraId="28605451" w14:textId="77777777" w:rsidR="000E3334" w:rsidRPr="000E3334" w:rsidRDefault="000E3334" w:rsidP="000E3334">
            <w:pPr>
              <w:rPr>
                <w:bCs/>
                <w:sz w:val="20"/>
                <w:szCs w:val="20"/>
              </w:rPr>
            </w:pPr>
            <w:r w:rsidRPr="000E3334">
              <w:rPr>
                <w:bCs/>
                <w:sz w:val="20"/>
                <w:szCs w:val="20"/>
              </w:rPr>
              <w:t>-Documents de demande de mise en protection temporaire auprès du SAPM / MEDD.</w:t>
            </w:r>
          </w:p>
          <w:p w14:paraId="037C60F3" w14:textId="128F5DC0" w:rsidR="000E3334" w:rsidRPr="00D970D6" w:rsidRDefault="000E3334" w:rsidP="000E3334">
            <w:pPr>
              <w:pStyle w:val="ListParagraph"/>
              <w:spacing w:before="0" w:after="0"/>
              <w:ind w:left="0"/>
              <w:rPr>
                <w:bCs/>
                <w:sz w:val="20"/>
                <w:szCs w:val="20"/>
                <w:lang w:val="fr-FR"/>
              </w:rPr>
            </w:pPr>
            <w:r w:rsidRPr="000E3334">
              <w:rPr>
                <w:bCs/>
                <w:sz w:val="20"/>
                <w:szCs w:val="20"/>
                <w:lang w:val="fr-FR"/>
              </w:rPr>
              <w:t>-rapports d’activités et cartes des 07 APC</w:t>
            </w:r>
          </w:p>
        </w:tc>
        <w:tc>
          <w:tcPr>
            <w:tcW w:w="1701" w:type="dxa"/>
          </w:tcPr>
          <w:p w14:paraId="55A00E76" w14:textId="65B6C473" w:rsidR="000E3334" w:rsidRPr="00D970D6" w:rsidRDefault="000E3334" w:rsidP="000E3334">
            <w:pPr>
              <w:pStyle w:val="ListParagraph"/>
              <w:spacing w:before="0" w:after="0"/>
              <w:ind w:left="0"/>
              <w:rPr>
                <w:bCs/>
                <w:sz w:val="20"/>
                <w:szCs w:val="20"/>
                <w:lang w:val="fr-FR"/>
              </w:rPr>
            </w:pPr>
            <w:r w:rsidRPr="000E3334">
              <w:rPr>
                <w:bCs/>
                <w:sz w:val="20"/>
                <w:szCs w:val="20"/>
                <w:lang w:val="fr-FR"/>
              </w:rPr>
              <w:t>La création définitive des 07 APC est en plein processus. L’objectif pour 2019 est de déposer les demandes de mise en protection définitive des 07 APC auprès du SAPM (fait)</w:t>
            </w:r>
          </w:p>
        </w:tc>
      </w:tr>
      <w:tr w:rsidR="000E3334" w:rsidRPr="00D970D6" w14:paraId="6B862F16" w14:textId="77777777" w:rsidTr="00A331FA">
        <w:tc>
          <w:tcPr>
            <w:tcW w:w="1843" w:type="dxa"/>
          </w:tcPr>
          <w:p w14:paraId="561F8407" w14:textId="2DD3973C" w:rsidR="000E3334" w:rsidRPr="00D970D6" w:rsidRDefault="000E3334" w:rsidP="000E3334">
            <w:pPr>
              <w:pStyle w:val="ListParagraph"/>
              <w:spacing w:before="0" w:after="0"/>
              <w:ind w:left="0"/>
              <w:rPr>
                <w:bCs/>
                <w:sz w:val="20"/>
                <w:szCs w:val="20"/>
                <w:lang w:val="fr-FR"/>
              </w:rPr>
            </w:pPr>
            <w:r w:rsidRPr="00EB6D20">
              <w:rPr>
                <w:bCs/>
                <w:sz w:val="20"/>
                <w:szCs w:val="20"/>
                <w:lang w:val="fr-FR"/>
              </w:rPr>
              <w:t>(</w:t>
            </w:r>
            <w:proofErr w:type="gramStart"/>
            <w:r w:rsidRPr="00EB6D20">
              <w:rPr>
                <w:bCs/>
                <w:sz w:val="20"/>
                <w:szCs w:val="20"/>
                <w:lang w:val="fr-FR"/>
              </w:rPr>
              <w:t>ii</w:t>
            </w:r>
            <w:proofErr w:type="gramEnd"/>
            <w:r w:rsidRPr="00EB6D20">
              <w:rPr>
                <w:bCs/>
                <w:sz w:val="20"/>
                <w:szCs w:val="20"/>
                <w:lang w:val="fr-FR"/>
              </w:rPr>
              <w:t>)Forêt denses sèches sécurisées</w:t>
            </w:r>
          </w:p>
        </w:tc>
        <w:tc>
          <w:tcPr>
            <w:tcW w:w="2184" w:type="dxa"/>
          </w:tcPr>
          <w:p w14:paraId="1218D597" w14:textId="0797C304" w:rsidR="000E3334" w:rsidRPr="00D970D6" w:rsidRDefault="000E3334" w:rsidP="000E3334">
            <w:pPr>
              <w:pStyle w:val="ListParagraph"/>
              <w:spacing w:before="0" w:after="0"/>
              <w:ind w:left="0"/>
              <w:rPr>
                <w:bCs/>
                <w:sz w:val="20"/>
                <w:szCs w:val="20"/>
                <w:lang w:val="fr-FR"/>
              </w:rPr>
            </w:pPr>
            <w:r>
              <w:rPr>
                <w:bCs/>
                <w:sz w:val="20"/>
                <w:szCs w:val="20"/>
                <w:lang w:val="fr-FR"/>
              </w:rPr>
              <w:t xml:space="preserve">24 610 de forêts denses sèches délimitées dans les 07 APC formant les Noyaux Durs ; si 20 000 </w:t>
            </w:r>
            <w:r>
              <w:rPr>
                <w:bCs/>
                <w:sz w:val="20"/>
                <w:szCs w:val="20"/>
                <w:lang w:val="fr-FR"/>
              </w:rPr>
              <w:lastRenderedPageBreak/>
              <w:t>Ha est l’objectif pour 2022.</w:t>
            </w:r>
          </w:p>
        </w:tc>
        <w:tc>
          <w:tcPr>
            <w:tcW w:w="1785" w:type="dxa"/>
            <w:vMerge/>
          </w:tcPr>
          <w:p w14:paraId="5DC6BB8C" w14:textId="77777777" w:rsidR="000E3334" w:rsidRPr="00D970D6" w:rsidRDefault="000E3334" w:rsidP="000E3334">
            <w:pPr>
              <w:pStyle w:val="ListParagraph"/>
              <w:spacing w:before="0" w:after="0"/>
              <w:ind w:left="0"/>
              <w:rPr>
                <w:bCs/>
                <w:sz w:val="20"/>
                <w:szCs w:val="20"/>
                <w:lang w:val="fr-FR"/>
              </w:rPr>
            </w:pPr>
          </w:p>
        </w:tc>
        <w:tc>
          <w:tcPr>
            <w:tcW w:w="1701" w:type="dxa"/>
          </w:tcPr>
          <w:p w14:paraId="2C15E4D1" w14:textId="76DF32F9" w:rsidR="000E3334" w:rsidRPr="00D970D6" w:rsidRDefault="000E3334" w:rsidP="000E3334">
            <w:pPr>
              <w:pStyle w:val="ListParagraph"/>
              <w:spacing w:before="0" w:after="0"/>
              <w:ind w:left="0"/>
              <w:rPr>
                <w:bCs/>
                <w:sz w:val="20"/>
                <w:szCs w:val="20"/>
                <w:lang w:val="fr-FR"/>
              </w:rPr>
            </w:pPr>
            <w:r>
              <w:rPr>
                <w:bCs/>
                <w:sz w:val="20"/>
                <w:szCs w:val="20"/>
                <w:lang w:val="fr-FR"/>
              </w:rPr>
              <w:t xml:space="preserve">-PV de délimitation et de concertation avec les communautés </w:t>
            </w:r>
            <w:r>
              <w:rPr>
                <w:bCs/>
                <w:sz w:val="20"/>
                <w:szCs w:val="20"/>
                <w:lang w:val="fr-FR"/>
              </w:rPr>
              <w:lastRenderedPageBreak/>
              <w:t xml:space="preserve">et autorités locales. </w:t>
            </w:r>
          </w:p>
        </w:tc>
        <w:tc>
          <w:tcPr>
            <w:tcW w:w="1701" w:type="dxa"/>
          </w:tcPr>
          <w:p w14:paraId="5EF80289" w14:textId="100F7EFB" w:rsidR="000E3334" w:rsidRPr="00D970D6" w:rsidRDefault="000E3334" w:rsidP="000E3334">
            <w:pPr>
              <w:pStyle w:val="ListParagraph"/>
              <w:spacing w:before="0" w:after="0"/>
              <w:ind w:left="0"/>
              <w:rPr>
                <w:bCs/>
                <w:sz w:val="20"/>
                <w:szCs w:val="20"/>
                <w:lang w:val="fr-FR"/>
              </w:rPr>
            </w:pPr>
            <w:r>
              <w:rPr>
                <w:bCs/>
                <w:sz w:val="20"/>
                <w:szCs w:val="20"/>
                <w:lang w:val="fr-FR"/>
              </w:rPr>
              <w:lastRenderedPageBreak/>
              <w:t xml:space="preserve">Les 24 610 Ha de forêts dense sèches représentent les Noyaux Durs des </w:t>
            </w:r>
            <w:r>
              <w:rPr>
                <w:bCs/>
                <w:sz w:val="20"/>
                <w:szCs w:val="20"/>
                <w:lang w:val="fr-FR"/>
              </w:rPr>
              <w:lastRenderedPageBreak/>
              <w:t xml:space="preserve">07 APC dans le zonage. </w:t>
            </w:r>
          </w:p>
        </w:tc>
      </w:tr>
    </w:tbl>
    <w:p w14:paraId="15C95FB9" w14:textId="77777777" w:rsidR="002A6C69" w:rsidRPr="00F55BDF" w:rsidRDefault="002A6C69" w:rsidP="002A6C69">
      <w:pPr>
        <w:pStyle w:val="ListParagraph"/>
        <w:rPr>
          <w:b/>
          <w:lang w:val="fr-FR"/>
        </w:rPr>
      </w:pPr>
    </w:p>
    <w:p w14:paraId="2078DA1C" w14:textId="77777777" w:rsidR="002A6C69" w:rsidRPr="00F55BDF" w:rsidRDefault="002A6C69" w:rsidP="002A6C69">
      <w:pPr>
        <w:pStyle w:val="ListParagraph"/>
        <w:numPr>
          <w:ilvl w:val="0"/>
          <w:numId w:val="6"/>
        </w:numPr>
        <w:rPr>
          <w:b/>
          <w:u w:val="single"/>
          <w:lang w:val="fr-FR"/>
        </w:rPr>
      </w:pPr>
      <w:r w:rsidRPr="00F55BDF">
        <w:rPr>
          <w:b/>
          <w:u w:val="single"/>
          <w:lang w:val="fr-FR"/>
        </w:rPr>
        <w:t>Résultats planifiés non atteints (facteurs explicatifs) :</w:t>
      </w:r>
    </w:p>
    <w:tbl>
      <w:tblPr>
        <w:tblStyle w:val="TableGrid"/>
        <w:tblW w:w="9356" w:type="dxa"/>
        <w:tblInd w:w="137" w:type="dxa"/>
        <w:tblLook w:val="04A0" w:firstRow="1" w:lastRow="0" w:firstColumn="1" w:lastColumn="0" w:noHBand="0" w:noVBand="1"/>
      </w:tblPr>
      <w:tblGrid>
        <w:gridCol w:w="1770"/>
        <w:gridCol w:w="2199"/>
        <w:gridCol w:w="3119"/>
        <w:gridCol w:w="2268"/>
      </w:tblGrid>
      <w:tr w:rsidR="00256D4D" w:rsidRPr="00A11140" w14:paraId="666CA547" w14:textId="77777777" w:rsidTr="00A331FA">
        <w:tc>
          <w:tcPr>
            <w:tcW w:w="1770" w:type="dxa"/>
          </w:tcPr>
          <w:p w14:paraId="57542CC7" w14:textId="77777777" w:rsidR="002A6C69" w:rsidRPr="00A11140" w:rsidRDefault="002A6C69" w:rsidP="00A331FA">
            <w:pPr>
              <w:pStyle w:val="ListParagraph"/>
              <w:ind w:left="0"/>
              <w:rPr>
                <w:b/>
                <w:sz w:val="20"/>
                <w:szCs w:val="20"/>
                <w:lang w:val="fr-FR"/>
              </w:rPr>
            </w:pPr>
            <w:r w:rsidRPr="00A11140">
              <w:rPr>
                <w:b/>
                <w:sz w:val="20"/>
                <w:szCs w:val="20"/>
                <w:lang w:val="fr-FR"/>
              </w:rPr>
              <w:t>Domaines d’intervention / d’activité</w:t>
            </w:r>
          </w:p>
        </w:tc>
        <w:tc>
          <w:tcPr>
            <w:tcW w:w="2199" w:type="dxa"/>
          </w:tcPr>
          <w:p w14:paraId="5346A881" w14:textId="66CCA927" w:rsidR="002A6C69" w:rsidRPr="00A11140" w:rsidRDefault="002A6C69" w:rsidP="00A331FA">
            <w:pPr>
              <w:pStyle w:val="ListParagraph"/>
              <w:ind w:left="0"/>
              <w:rPr>
                <w:b/>
                <w:sz w:val="20"/>
                <w:szCs w:val="20"/>
                <w:lang w:val="fr-FR"/>
              </w:rPr>
            </w:pPr>
            <w:r w:rsidRPr="00A11140">
              <w:rPr>
                <w:b/>
                <w:sz w:val="20"/>
                <w:szCs w:val="20"/>
                <w:lang w:val="fr-FR"/>
              </w:rPr>
              <w:t>Résultats planifiés</w:t>
            </w:r>
            <w:r w:rsidR="00365879" w:rsidRPr="00A11140">
              <w:rPr>
                <w:b/>
                <w:sz w:val="20"/>
                <w:szCs w:val="20"/>
                <w:lang w:val="fr-FR"/>
              </w:rPr>
              <w:t xml:space="preserve"> (non atteints)</w:t>
            </w:r>
          </w:p>
        </w:tc>
        <w:tc>
          <w:tcPr>
            <w:tcW w:w="3119" w:type="dxa"/>
          </w:tcPr>
          <w:p w14:paraId="58BB5160" w14:textId="77777777" w:rsidR="002A6C69" w:rsidRPr="00A11140" w:rsidRDefault="002A6C69" w:rsidP="00A331FA">
            <w:pPr>
              <w:pStyle w:val="ListParagraph"/>
              <w:ind w:left="0"/>
              <w:rPr>
                <w:b/>
                <w:sz w:val="20"/>
                <w:szCs w:val="20"/>
                <w:lang w:val="fr-FR"/>
              </w:rPr>
            </w:pPr>
            <w:r w:rsidRPr="00A11140">
              <w:rPr>
                <w:b/>
                <w:sz w:val="20"/>
                <w:szCs w:val="20"/>
                <w:lang w:val="fr-FR"/>
              </w:rPr>
              <w:t xml:space="preserve">Facteurs explicatifs </w:t>
            </w:r>
            <w:proofErr w:type="gramStart"/>
            <w:r w:rsidRPr="00A11140">
              <w:rPr>
                <w:b/>
                <w:sz w:val="20"/>
                <w:szCs w:val="20"/>
                <w:lang w:val="fr-FR"/>
              </w:rPr>
              <w:t>de la non</w:t>
            </w:r>
            <w:proofErr w:type="gramEnd"/>
            <w:r w:rsidRPr="00A11140">
              <w:rPr>
                <w:b/>
                <w:sz w:val="20"/>
                <w:szCs w:val="20"/>
                <w:lang w:val="fr-FR"/>
              </w:rPr>
              <w:t xml:space="preserve"> atteinte des résultats</w:t>
            </w:r>
          </w:p>
        </w:tc>
        <w:tc>
          <w:tcPr>
            <w:tcW w:w="2268" w:type="dxa"/>
          </w:tcPr>
          <w:p w14:paraId="252DBB06" w14:textId="77777777" w:rsidR="002A6C69" w:rsidRPr="00A11140" w:rsidRDefault="002A6C69" w:rsidP="00A331FA">
            <w:pPr>
              <w:pStyle w:val="ListParagraph"/>
              <w:ind w:left="0"/>
              <w:rPr>
                <w:b/>
                <w:sz w:val="20"/>
                <w:szCs w:val="20"/>
                <w:lang w:val="fr-FR"/>
              </w:rPr>
            </w:pPr>
            <w:r w:rsidRPr="00A11140">
              <w:rPr>
                <w:b/>
                <w:sz w:val="20"/>
                <w:szCs w:val="20"/>
                <w:lang w:val="fr-FR"/>
              </w:rPr>
              <w:t>Observations</w:t>
            </w:r>
          </w:p>
        </w:tc>
      </w:tr>
      <w:tr w:rsidR="00256D4D" w:rsidRPr="00A11140" w14:paraId="654018AF" w14:textId="77777777" w:rsidTr="00A331FA">
        <w:tc>
          <w:tcPr>
            <w:tcW w:w="1770" w:type="dxa"/>
          </w:tcPr>
          <w:p w14:paraId="710D754C" w14:textId="77777777" w:rsidR="002A6C69" w:rsidRPr="00A11140" w:rsidRDefault="002A6C69" w:rsidP="00A331FA">
            <w:pPr>
              <w:pStyle w:val="ListParagraph"/>
              <w:ind w:left="0"/>
              <w:rPr>
                <w:bCs/>
                <w:sz w:val="20"/>
                <w:szCs w:val="20"/>
                <w:lang w:val="fr-FR"/>
              </w:rPr>
            </w:pPr>
          </w:p>
        </w:tc>
        <w:tc>
          <w:tcPr>
            <w:tcW w:w="2199" w:type="dxa"/>
          </w:tcPr>
          <w:p w14:paraId="2C59E304" w14:textId="77777777" w:rsidR="002A6C69" w:rsidRPr="00A11140" w:rsidRDefault="002A6C69" w:rsidP="00A331FA">
            <w:pPr>
              <w:pStyle w:val="ListParagraph"/>
              <w:ind w:left="0"/>
              <w:rPr>
                <w:bCs/>
                <w:sz w:val="20"/>
                <w:szCs w:val="20"/>
                <w:lang w:val="fr-FR"/>
              </w:rPr>
            </w:pPr>
          </w:p>
        </w:tc>
        <w:tc>
          <w:tcPr>
            <w:tcW w:w="3119" w:type="dxa"/>
          </w:tcPr>
          <w:p w14:paraId="0F66D46B" w14:textId="77777777" w:rsidR="002A6C69" w:rsidRPr="00A11140" w:rsidRDefault="002A6C69" w:rsidP="00A331FA">
            <w:pPr>
              <w:pStyle w:val="ListParagraph"/>
              <w:ind w:left="0"/>
              <w:rPr>
                <w:bCs/>
                <w:sz w:val="20"/>
                <w:szCs w:val="20"/>
                <w:lang w:val="fr-FR"/>
              </w:rPr>
            </w:pPr>
          </w:p>
        </w:tc>
        <w:tc>
          <w:tcPr>
            <w:tcW w:w="2268" w:type="dxa"/>
          </w:tcPr>
          <w:p w14:paraId="76EFB6AE" w14:textId="77777777" w:rsidR="002A6C69" w:rsidRPr="00A11140" w:rsidRDefault="002A6C69" w:rsidP="00A331FA">
            <w:pPr>
              <w:pStyle w:val="ListParagraph"/>
              <w:ind w:left="0"/>
              <w:rPr>
                <w:bCs/>
                <w:sz w:val="20"/>
                <w:szCs w:val="20"/>
                <w:lang w:val="fr-FR"/>
              </w:rPr>
            </w:pPr>
          </w:p>
        </w:tc>
      </w:tr>
      <w:tr w:rsidR="00256D4D" w:rsidRPr="00A11140" w14:paraId="70EE3B62" w14:textId="77777777" w:rsidTr="00A331FA">
        <w:tc>
          <w:tcPr>
            <w:tcW w:w="1770" w:type="dxa"/>
          </w:tcPr>
          <w:p w14:paraId="66FFEBEE" w14:textId="77777777" w:rsidR="002A6C69" w:rsidRPr="00A11140" w:rsidRDefault="002A6C69" w:rsidP="00A331FA">
            <w:pPr>
              <w:pStyle w:val="ListParagraph"/>
              <w:ind w:left="0"/>
              <w:rPr>
                <w:bCs/>
                <w:sz w:val="20"/>
                <w:szCs w:val="20"/>
                <w:lang w:val="fr-FR"/>
              </w:rPr>
            </w:pPr>
          </w:p>
        </w:tc>
        <w:tc>
          <w:tcPr>
            <w:tcW w:w="2199" w:type="dxa"/>
          </w:tcPr>
          <w:p w14:paraId="030AFB0E" w14:textId="77777777" w:rsidR="002A6C69" w:rsidRPr="00A11140" w:rsidRDefault="002A6C69" w:rsidP="00A331FA">
            <w:pPr>
              <w:pStyle w:val="ListParagraph"/>
              <w:ind w:left="0"/>
              <w:rPr>
                <w:bCs/>
                <w:sz w:val="20"/>
                <w:szCs w:val="20"/>
                <w:lang w:val="fr-FR"/>
              </w:rPr>
            </w:pPr>
          </w:p>
        </w:tc>
        <w:tc>
          <w:tcPr>
            <w:tcW w:w="3119" w:type="dxa"/>
          </w:tcPr>
          <w:p w14:paraId="574E09A6" w14:textId="77777777" w:rsidR="002A6C69" w:rsidRPr="00A11140" w:rsidRDefault="002A6C69" w:rsidP="00A331FA">
            <w:pPr>
              <w:pStyle w:val="ListParagraph"/>
              <w:ind w:left="0"/>
              <w:rPr>
                <w:bCs/>
                <w:sz w:val="20"/>
                <w:szCs w:val="20"/>
                <w:lang w:val="fr-FR"/>
              </w:rPr>
            </w:pPr>
          </w:p>
        </w:tc>
        <w:tc>
          <w:tcPr>
            <w:tcW w:w="2268" w:type="dxa"/>
          </w:tcPr>
          <w:p w14:paraId="67D4FCAC" w14:textId="77777777" w:rsidR="002A6C69" w:rsidRPr="00A11140" w:rsidRDefault="002A6C69" w:rsidP="00A331FA">
            <w:pPr>
              <w:pStyle w:val="ListParagraph"/>
              <w:ind w:left="0"/>
              <w:rPr>
                <w:bCs/>
                <w:sz w:val="20"/>
                <w:szCs w:val="20"/>
                <w:lang w:val="fr-FR"/>
              </w:rPr>
            </w:pPr>
          </w:p>
        </w:tc>
      </w:tr>
    </w:tbl>
    <w:p w14:paraId="7E6903D4" w14:textId="77777777" w:rsidR="002A6C69" w:rsidRPr="00F55BDF" w:rsidRDefault="002A6C69" w:rsidP="002A6C69">
      <w:pPr>
        <w:ind w:left="360"/>
        <w:rPr>
          <w:b/>
        </w:rPr>
      </w:pPr>
    </w:p>
    <w:p w14:paraId="1DC4C524" w14:textId="77777777" w:rsidR="002A6C69" w:rsidRPr="00F55BDF" w:rsidRDefault="002A6C69" w:rsidP="002A6C69">
      <w:pPr>
        <w:pStyle w:val="ListParagraph"/>
        <w:numPr>
          <w:ilvl w:val="0"/>
          <w:numId w:val="6"/>
        </w:numPr>
        <w:rPr>
          <w:b/>
          <w:u w:val="single"/>
          <w:lang w:val="fr-FR"/>
        </w:rPr>
      </w:pPr>
      <w:r w:rsidRPr="00F55BDF">
        <w:rPr>
          <w:b/>
          <w:u w:val="single"/>
          <w:lang w:val="fr-FR"/>
        </w:rPr>
        <w:t>Résultats obtenus mais non planifiés (expliquer et chiffrer) le cas échéant :</w:t>
      </w:r>
    </w:p>
    <w:p w14:paraId="20CBC9ED" w14:textId="77777777" w:rsidR="002A6C69" w:rsidRPr="00F55BDF" w:rsidRDefault="002A6C69" w:rsidP="002A6C69">
      <w:pPr>
        <w:pStyle w:val="ListParagraph"/>
        <w:rPr>
          <w:b/>
          <w:lang w:val="fr-FR"/>
        </w:rPr>
      </w:pPr>
    </w:p>
    <w:p w14:paraId="450E4664" w14:textId="77777777" w:rsidR="002A6C69" w:rsidRPr="00F55BDF" w:rsidRDefault="002A6C69" w:rsidP="002A6C69">
      <w:pPr>
        <w:pStyle w:val="ListParagraph"/>
        <w:rPr>
          <w:b/>
          <w:lang w:val="fr-FR"/>
        </w:rPr>
      </w:pPr>
    </w:p>
    <w:p w14:paraId="4FAF3422" w14:textId="77777777" w:rsidR="002A6C69" w:rsidRPr="00F55BDF" w:rsidRDefault="002A6C69" w:rsidP="002A6C69">
      <w:pPr>
        <w:pStyle w:val="ListParagraph"/>
        <w:numPr>
          <w:ilvl w:val="0"/>
          <w:numId w:val="6"/>
        </w:numPr>
        <w:rPr>
          <w:b/>
          <w:u w:val="single"/>
          <w:lang w:val="fr-FR"/>
        </w:rPr>
      </w:pPr>
      <w:r w:rsidRPr="00F55BDF">
        <w:rPr>
          <w:b/>
          <w:u w:val="single"/>
          <w:lang w:val="fr-FR"/>
        </w:rPr>
        <w:t xml:space="preserve">Remarques ou observations importantes éventuelles sur l’Output considéré : </w:t>
      </w:r>
    </w:p>
    <w:p w14:paraId="7937A102" w14:textId="77777777" w:rsidR="002A6C69" w:rsidRPr="00F55BDF" w:rsidRDefault="002A6C69" w:rsidP="00256D4D">
      <w:pPr>
        <w:pStyle w:val="ListParagraph"/>
        <w:rPr>
          <w:b/>
          <w:lang w:val="fr-FR"/>
        </w:rPr>
      </w:pPr>
    </w:p>
    <w:p w14:paraId="74498349" w14:textId="5C1B56AA" w:rsidR="00800573" w:rsidRPr="00F55BDF" w:rsidRDefault="00800573" w:rsidP="00246439">
      <w:pPr>
        <w:rPr>
          <w:b/>
          <w:i/>
          <w:sz w:val="24"/>
        </w:rPr>
        <w:sectPr w:rsidR="00800573" w:rsidRPr="00F55BDF" w:rsidSect="00CB4263">
          <w:footerReference w:type="default" r:id="rId16"/>
          <w:pgSz w:w="11906" w:h="16838"/>
          <w:pgMar w:top="709" w:right="1417" w:bottom="1417" w:left="1417" w:header="708" w:footer="708" w:gutter="0"/>
          <w:cols w:space="708"/>
          <w:docGrid w:linePitch="360"/>
        </w:sectPr>
      </w:pPr>
    </w:p>
    <w:p w14:paraId="0F86C982" w14:textId="1A84D0C3" w:rsidR="00BD7CE2" w:rsidRPr="00F55BDF" w:rsidRDefault="00BD7CE2" w:rsidP="00246439">
      <w:pPr>
        <w:pStyle w:val="ListParagraph"/>
        <w:numPr>
          <w:ilvl w:val="0"/>
          <w:numId w:val="1"/>
        </w:numPr>
        <w:rPr>
          <w:b/>
          <w:i/>
          <w:sz w:val="24"/>
          <w:lang w:val="fr-FR"/>
        </w:rPr>
      </w:pPr>
      <w:r w:rsidRPr="00F55BDF">
        <w:rPr>
          <w:b/>
          <w:i/>
          <w:sz w:val="24"/>
          <w:lang w:val="fr-FR"/>
        </w:rPr>
        <w:lastRenderedPageBreak/>
        <w:t>Autres indicateurs</w:t>
      </w:r>
    </w:p>
    <w:p w14:paraId="67CE2796" w14:textId="6CA9103B" w:rsidR="00BD7CE2" w:rsidRPr="00F55BDF" w:rsidRDefault="00BD7CE2" w:rsidP="00BD7CE2">
      <w:pPr>
        <w:pStyle w:val="ListParagraph"/>
        <w:rPr>
          <w:b/>
          <w:i/>
          <w:sz w:val="24"/>
          <w:u w:val="single"/>
          <w:lang w:val="fr-FR"/>
        </w:rPr>
      </w:pPr>
      <w:r w:rsidRPr="00F55BDF">
        <w:rPr>
          <w:b/>
          <w:i/>
          <w:sz w:val="24"/>
          <w:u w:val="single"/>
          <w:lang w:val="fr-FR"/>
        </w:rPr>
        <w:t>Indicateurs du cadre de résultats</w:t>
      </w:r>
      <w:r w:rsidRPr="00F55BDF">
        <w:rPr>
          <w:b/>
          <w:i/>
          <w:sz w:val="24"/>
          <w:u w:val="single"/>
          <w:lang w:val="fr-FR"/>
        </w:rPr>
        <w:tab/>
      </w:r>
    </w:p>
    <w:p w14:paraId="22361777" w14:textId="0786E9C2" w:rsidR="00401638" w:rsidRPr="00F55BDF" w:rsidRDefault="00401638" w:rsidP="00401638">
      <w:pPr>
        <w:pStyle w:val="ListParagraph"/>
        <w:rPr>
          <w:rFonts w:eastAsia="Times New Roman" w:cstheme="minorHAnsi"/>
          <w:i/>
          <w:iCs/>
          <w:color w:val="000000"/>
          <w:lang w:val="fr-FR" w:eastAsia="fr-FR"/>
        </w:rPr>
      </w:pPr>
      <w:r w:rsidRPr="00F55BDF">
        <w:rPr>
          <w:rFonts w:cstheme="minorHAnsi"/>
          <w:b/>
          <w:i/>
          <w:sz w:val="24"/>
          <w:u w:val="single"/>
          <w:lang w:val="fr-FR"/>
        </w:rPr>
        <w:t xml:space="preserve">Objectif du projet : </w:t>
      </w:r>
      <w:r w:rsidRPr="00F55BDF">
        <w:rPr>
          <w:rFonts w:eastAsia="Times New Roman" w:cstheme="minorHAnsi"/>
          <w:i/>
          <w:iCs/>
          <w:color w:val="000000"/>
          <w:lang w:val="fr-FR" w:eastAsia="fr-FR"/>
        </w:rPr>
        <w:t>Protéger la biodiversité dans la région de l’Atsimo-Andrefana des menaces actuelles et nouvelles, et l’utiliser durablement en développant un cadre de gouvernance fondé sur la collaboration aux fins de l’intégration sectorielle et la gestion des ressources naturelles décentralisées.</w:t>
      </w:r>
    </w:p>
    <w:tbl>
      <w:tblPr>
        <w:tblpPr w:leftFromText="180" w:rightFromText="180" w:vertAnchor="text" w:tblpX="-1139" w:tblpY="1"/>
        <w:tblOverlap w:val="never"/>
        <w:tblW w:w="16297" w:type="dxa"/>
        <w:tblLayout w:type="fixed"/>
        <w:tblCellMar>
          <w:left w:w="70" w:type="dxa"/>
          <w:right w:w="70" w:type="dxa"/>
        </w:tblCellMar>
        <w:tblLook w:val="04A0" w:firstRow="1" w:lastRow="0" w:firstColumn="1" w:lastColumn="0" w:noHBand="0" w:noVBand="1"/>
      </w:tblPr>
      <w:tblGrid>
        <w:gridCol w:w="1838"/>
        <w:gridCol w:w="2410"/>
        <w:gridCol w:w="2268"/>
        <w:gridCol w:w="709"/>
        <w:gridCol w:w="164"/>
        <w:gridCol w:w="828"/>
        <w:gridCol w:w="1134"/>
        <w:gridCol w:w="567"/>
        <w:gridCol w:w="1559"/>
        <w:gridCol w:w="1701"/>
        <w:gridCol w:w="1559"/>
        <w:gridCol w:w="1560"/>
      </w:tblGrid>
      <w:tr w:rsidR="008267A3" w:rsidRPr="00F55BDF" w14:paraId="326A8E49" w14:textId="77777777" w:rsidTr="008267A3">
        <w:trPr>
          <w:trHeight w:val="840"/>
          <w:tblHeader/>
        </w:trPr>
        <w:tc>
          <w:tcPr>
            <w:tcW w:w="183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B2E74A" w14:textId="77777777"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Résultats escomptés</w:t>
            </w:r>
            <w:r w:rsidRPr="00F55BDF">
              <w:rPr>
                <w:rFonts w:eastAsia="Times New Roman" w:cstheme="minorHAnsi"/>
                <w:b/>
                <w:bCs/>
                <w:color w:val="000000"/>
                <w:lang w:eastAsia="fr-FR"/>
              </w:rPr>
              <w:br/>
              <w:t>(Effets et produits)</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5FFD24" w14:textId="77777777"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Indicateurs (avec désagrégation)</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E7F2033" w14:textId="7643C02E"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 xml:space="preserve">Baseline (avec </w:t>
            </w:r>
            <w:proofErr w:type="gramStart"/>
            <w:r w:rsidR="00F26A2D" w:rsidRPr="00F55BDF">
              <w:rPr>
                <w:rFonts w:eastAsia="Times New Roman" w:cstheme="minorHAnsi"/>
                <w:b/>
                <w:bCs/>
                <w:color w:val="000000"/>
                <w:lang w:eastAsia="fr-FR"/>
              </w:rPr>
              <w:t xml:space="preserve">désagrégation)  </w:t>
            </w:r>
            <w:r w:rsidRPr="00F55BDF">
              <w:rPr>
                <w:rFonts w:eastAsia="Times New Roman" w:cstheme="minorHAnsi"/>
                <w:b/>
                <w:bCs/>
                <w:color w:val="000000"/>
                <w:lang w:eastAsia="fr-FR"/>
              </w:rPr>
              <w:t xml:space="preserve"> </w:t>
            </w:r>
            <w:proofErr w:type="gramEnd"/>
            <w:r w:rsidRPr="00F55BDF">
              <w:rPr>
                <w:rFonts w:eastAsia="Times New Roman" w:cstheme="minorHAnsi"/>
                <w:b/>
                <w:bCs/>
                <w:color w:val="000000"/>
                <w:lang w:eastAsia="fr-FR"/>
              </w:rPr>
              <w:t xml:space="preserve">           (Juin 2017)</w:t>
            </w:r>
          </w:p>
        </w:tc>
        <w:tc>
          <w:tcPr>
            <w:tcW w:w="873" w:type="dxa"/>
            <w:gridSpan w:val="2"/>
            <w:tcBorders>
              <w:top w:val="single" w:sz="4" w:space="0" w:color="auto"/>
              <w:left w:val="nil"/>
              <w:bottom w:val="single" w:sz="4" w:space="0" w:color="auto"/>
              <w:right w:val="nil"/>
            </w:tcBorders>
            <w:shd w:val="clear" w:color="000000" w:fill="D9D9D9"/>
          </w:tcPr>
          <w:p w14:paraId="4E03215D" w14:textId="77777777" w:rsidR="00104CED" w:rsidRPr="00F55BDF" w:rsidRDefault="00104CED" w:rsidP="008267A3">
            <w:pPr>
              <w:spacing w:after="0" w:line="240" w:lineRule="auto"/>
              <w:jc w:val="center"/>
              <w:rPr>
                <w:rFonts w:eastAsia="Times New Roman" w:cstheme="minorHAnsi"/>
                <w:b/>
                <w:bCs/>
                <w:color w:val="000000"/>
                <w:lang w:eastAsia="fr-FR"/>
              </w:rPr>
            </w:pPr>
          </w:p>
        </w:tc>
        <w:tc>
          <w:tcPr>
            <w:tcW w:w="4088" w:type="dxa"/>
            <w:gridSpan w:val="4"/>
            <w:tcBorders>
              <w:top w:val="single" w:sz="4" w:space="0" w:color="auto"/>
              <w:left w:val="nil"/>
              <w:bottom w:val="single" w:sz="4" w:space="0" w:color="auto"/>
              <w:right w:val="single" w:sz="4" w:space="0" w:color="auto"/>
            </w:tcBorders>
            <w:shd w:val="clear" w:color="000000" w:fill="D9D9D9"/>
            <w:vAlign w:val="center"/>
            <w:hideMark/>
          </w:tcPr>
          <w:p w14:paraId="6923C8A5" w14:textId="77777777"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Cibles annuelles</w:t>
            </w:r>
            <w:r w:rsidRPr="00F55BDF">
              <w:rPr>
                <w:rFonts w:eastAsia="Times New Roman" w:cstheme="minorHAnsi"/>
                <w:b/>
                <w:bCs/>
                <w:color w:val="000000"/>
                <w:lang w:eastAsia="fr-FR"/>
              </w:rPr>
              <w:br/>
            </w:r>
            <w:r w:rsidRPr="00F55BDF">
              <w:rPr>
                <w:rFonts w:eastAsia="Times New Roman" w:cstheme="minorHAnsi"/>
                <w:b/>
                <w:bCs/>
                <w:color w:val="000000"/>
                <w:sz w:val="18"/>
                <w:szCs w:val="18"/>
                <w:lang w:eastAsia="fr-FR"/>
              </w:rPr>
              <w:t xml:space="preserve"> (Valeurs des indicateurs avec désagrégation)</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1CD5564F" w14:textId="7FB33A53"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Valeur actuelle</w:t>
            </w:r>
            <w:r w:rsidR="005827D8" w:rsidRPr="00F55BDF">
              <w:rPr>
                <w:rFonts w:eastAsia="Times New Roman" w:cstheme="minorHAnsi"/>
                <w:b/>
                <w:bCs/>
                <w:color w:val="000000"/>
                <w:lang w:eastAsia="fr-FR"/>
              </w:rPr>
              <w:t xml:space="preserve"> </w:t>
            </w:r>
            <w:r w:rsidRPr="00F55BDF">
              <w:rPr>
                <w:rFonts w:eastAsia="Times New Roman" w:cstheme="minorHAnsi"/>
                <w:b/>
                <w:bCs/>
                <w:color w:val="000000"/>
                <w:lang w:eastAsia="fr-FR"/>
              </w:rPr>
              <w:t>(avec désagrégation)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5CCB8C" w14:textId="77777777"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Source de données</w:t>
            </w:r>
          </w:p>
        </w:tc>
        <w:tc>
          <w:tcPr>
            <w:tcW w:w="1560" w:type="dxa"/>
            <w:vMerge w:val="restart"/>
            <w:tcBorders>
              <w:top w:val="single" w:sz="4" w:space="0" w:color="auto"/>
              <w:left w:val="single" w:sz="4" w:space="0" w:color="auto"/>
              <w:right w:val="single" w:sz="4" w:space="0" w:color="auto"/>
            </w:tcBorders>
            <w:shd w:val="clear" w:color="000000" w:fill="D9D9D9"/>
            <w:vAlign w:val="center"/>
          </w:tcPr>
          <w:p w14:paraId="65F99233" w14:textId="77777777"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Moyen de vérification</w:t>
            </w:r>
          </w:p>
        </w:tc>
      </w:tr>
      <w:tr w:rsidR="008267A3" w:rsidRPr="00F55BDF" w14:paraId="480344D2" w14:textId="77777777" w:rsidTr="00A8365E">
        <w:trPr>
          <w:trHeight w:val="6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CE1659B" w14:textId="77777777" w:rsidR="00104CED" w:rsidRPr="00F55BDF" w:rsidRDefault="00104CED" w:rsidP="008267A3">
            <w:pPr>
              <w:spacing w:after="0" w:line="240" w:lineRule="auto"/>
              <w:rPr>
                <w:rFonts w:eastAsia="Times New Roman" w:cstheme="minorHAnsi"/>
                <w:b/>
                <w:bCs/>
                <w:color w:val="000000"/>
                <w:lang w:eastAsia="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E03B20B" w14:textId="77777777" w:rsidR="00104CED" w:rsidRPr="00F55BDF" w:rsidRDefault="00104CED" w:rsidP="008267A3">
            <w:pPr>
              <w:spacing w:after="0" w:line="240" w:lineRule="auto"/>
              <w:rPr>
                <w:rFonts w:eastAsia="Times New Roman" w:cstheme="minorHAnsi"/>
                <w:b/>
                <w:bCs/>
                <w:color w:val="000000"/>
                <w:lang w:eastAsia="fr-FR"/>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ED21574" w14:textId="77777777" w:rsidR="00104CED" w:rsidRPr="00F55BDF" w:rsidRDefault="00104CED" w:rsidP="008267A3">
            <w:pPr>
              <w:spacing w:after="0" w:line="240" w:lineRule="auto"/>
              <w:rPr>
                <w:rFonts w:eastAsia="Times New Roman" w:cstheme="minorHAnsi"/>
                <w:b/>
                <w:bCs/>
                <w:color w:val="000000"/>
                <w:lang w:eastAsia="fr-FR"/>
              </w:rPr>
            </w:pPr>
          </w:p>
        </w:tc>
        <w:tc>
          <w:tcPr>
            <w:tcW w:w="709" w:type="dxa"/>
            <w:tcBorders>
              <w:top w:val="nil"/>
              <w:left w:val="nil"/>
              <w:bottom w:val="single" w:sz="4" w:space="0" w:color="auto"/>
              <w:right w:val="single" w:sz="4" w:space="0" w:color="auto"/>
            </w:tcBorders>
            <w:shd w:val="clear" w:color="000000" w:fill="D9D9D9"/>
            <w:vAlign w:val="center"/>
          </w:tcPr>
          <w:p w14:paraId="3C8DEB97" w14:textId="77777777"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An 1</w:t>
            </w:r>
          </w:p>
        </w:tc>
        <w:tc>
          <w:tcPr>
            <w:tcW w:w="992" w:type="dxa"/>
            <w:gridSpan w:val="2"/>
            <w:tcBorders>
              <w:top w:val="nil"/>
              <w:left w:val="nil"/>
              <w:bottom w:val="single" w:sz="4" w:space="0" w:color="auto"/>
              <w:right w:val="single" w:sz="4" w:space="0" w:color="auto"/>
            </w:tcBorders>
            <w:shd w:val="clear" w:color="000000" w:fill="D9D9D9"/>
            <w:vAlign w:val="center"/>
          </w:tcPr>
          <w:p w14:paraId="634405A0" w14:textId="50E4B509" w:rsidR="00104CED" w:rsidRPr="00F55BDF" w:rsidRDefault="00104CED" w:rsidP="008267A3">
            <w:pPr>
              <w:spacing w:after="0" w:line="240" w:lineRule="auto"/>
              <w:rPr>
                <w:rFonts w:eastAsia="Times New Roman" w:cstheme="minorHAnsi"/>
                <w:b/>
                <w:bCs/>
                <w:color w:val="000000"/>
                <w:lang w:eastAsia="fr-FR"/>
              </w:rPr>
            </w:pPr>
            <w:r w:rsidRPr="00F55BDF">
              <w:rPr>
                <w:rFonts w:eastAsia="Times New Roman" w:cstheme="minorHAnsi"/>
                <w:b/>
                <w:bCs/>
                <w:color w:val="000000"/>
                <w:lang w:eastAsia="fr-FR"/>
              </w:rPr>
              <w:t>An 2</w:t>
            </w:r>
            <w:r w:rsidR="00630D35" w:rsidRPr="00F55BDF">
              <w:rPr>
                <w:rFonts w:eastAsia="Times New Roman" w:cstheme="minorHAnsi"/>
                <w:b/>
                <w:bCs/>
                <w:color w:val="000000"/>
                <w:lang w:eastAsia="fr-FR"/>
              </w:rPr>
              <w:t xml:space="preserve"> </w:t>
            </w:r>
          </w:p>
        </w:tc>
        <w:tc>
          <w:tcPr>
            <w:tcW w:w="1134" w:type="dxa"/>
            <w:tcBorders>
              <w:top w:val="nil"/>
              <w:left w:val="nil"/>
              <w:bottom w:val="single" w:sz="4" w:space="0" w:color="auto"/>
              <w:right w:val="single" w:sz="4" w:space="0" w:color="auto"/>
            </w:tcBorders>
            <w:shd w:val="clear" w:color="000000" w:fill="D9D9D9"/>
            <w:vAlign w:val="center"/>
          </w:tcPr>
          <w:p w14:paraId="5572C192" w14:textId="32030D0A" w:rsidR="00104CED" w:rsidRPr="00F55BDF" w:rsidRDefault="00104CED" w:rsidP="008267A3">
            <w:pPr>
              <w:spacing w:after="0" w:line="240" w:lineRule="auto"/>
              <w:rPr>
                <w:rFonts w:eastAsia="Times New Roman" w:cstheme="minorHAnsi"/>
                <w:b/>
                <w:bCs/>
                <w:color w:val="000000"/>
                <w:lang w:eastAsia="fr-FR"/>
              </w:rPr>
            </w:pPr>
            <w:r w:rsidRPr="00F55BDF">
              <w:rPr>
                <w:rFonts w:eastAsia="Times New Roman" w:cstheme="minorHAnsi"/>
                <w:b/>
                <w:bCs/>
                <w:color w:val="000000"/>
                <w:lang w:eastAsia="fr-FR"/>
              </w:rPr>
              <w:t>An 3</w:t>
            </w:r>
          </w:p>
        </w:tc>
        <w:tc>
          <w:tcPr>
            <w:tcW w:w="567" w:type="dxa"/>
            <w:tcBorders>
              <w:top w:val="single" w:sz="4" w:space="0" w:color="auto"/>
              <w:left w:val="nil"/>
              <w:bottom w:val="single" w:sz="4" w:space="0" w:color="auto"/>
              <w:right w:val="single" w:sz="4" w:space="0" w:color="auto"/>
            </w:tcBorders>
            <w:shd w:val="clear" w:color="000000" w:fill="D9D9D9"/>
            <w:vAlign w:val="center"/>
          </w:tcPr>
          <w:p w14:paraId="2E78D422" w14:textId="77777777"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An 4</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14:paraId="6C6EEAE0" w14:textId="2D624B20"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An 5</w:t>
            </w:r>
            <w:r w:rsidR="005827D8" w:rsidRPr="00F55BDF">
              <w:rPr>
                <w:rFonts w:eastAsia="Times New Roman" w:cstheme="minorHAnsi"/>
                <w:b/>
                <w:bCs/>
                <w:color w:val="000000"/>
                <w:lang w:eastAsia="fr-FR"/>
              </w:rPr>
              <w:t xml:space="preserve"> (Mai 2022)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57AFF" w14:textId="0FF7E5DE" w:rsidR="00104CED" w:rsidRPr="00F55BDF" w:rsidRDefault="00104CED" w:rsidP="008267A3">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Année 3 (2019)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BC90EE" w14:textId="77777777" w:rsidR="00104CED" w:rsidRPr="00F55BDF" w:rsidRDefault="00104CED" w:rsidP="008267A3">
            <w:pPr>
              <w:spacing w:after="0" w:line="240" w:lineRule="auto"/>
              <w:rPr>
                <w:rFonts w:eastAsia="Times New Roman" w:cstheme="minorHAnsi"/>
                <w:b/>
                <w:bCs/>
                <w:color w:val="000000"/>
                <w:lang w:eastAsia="fr-FR"/>
              </w:rPr>
            </w:pPr>
          </w:p>
        </w:tc>
        <w:tc>
          <w:tcPr>
            <w:tcW w:w="1560" w:type="dxa"/>
            <w:vMerge/>
            <w:tcBorders>
              <w:left w:val="single" w:sz="4" w:space="0" w:color="auto"/>
              <w:bottom w:val="single" w:sz="4" w:space="0" w:color="auto"/>
              <w:right w:val="single" w:sz="4" w:space="0" w:color="auto"/>
            </w:tcBorders>
          </w:tcPr>
          <w:p w14:paraId="6910E3E2" w14:textId="77777777" w:rsidR="00104CED" w:rsidRPr="00F55BDF" w:rsidRDefault="00104CED" w:rsidP="008267A3">
            <w:pPr>
              <w:spacing w:after="0" w:line="240" w:lineRule="auto"/>
              <w:rPr>
                <w:rFonts w:eastAsia="Times New Roman" w:cstheme="minorHAnsi"/>
                <w:b/>
                <w:bCs/>
                <w:color w:val="000000"/>
                <w:lang w:eastAsia="fr-FR"/>
              </w:rPr>
            </w:pPr>
          </w:p>
        </w:tc>
      </w:tr>
      <w:tr w:rsidR="008267A3" w:rsidRPr="00F55BDF" w14:paraId="50065009" w14:textId="77777777" w:rsidTr="00A8365E">
        <w:trPr>
          <w:trHeight w:val="1651"/>
        </w:trPr>
        <w:tc>
          <w:tcPr>
            <w:tcW w:w="1838" w:type="dxa"/>
            <w:vMerge w:val="restart"/>
            <w:tcBorders>
              <w:top w:val="nil"/>
              <w:left w:val="single" w:sz="4" w:space="0" w:color="auto"/>
              <w:right w:val="single" w:sz="4" w:space="0" w:color="auto"/>
            </w:tcBorders>
            <w:shd w:val="clear" w:color="auto" w:fill="auto"/>
            <w:vAlign w:val="center"/>
            <w:hideMark/>
          </w:tcPr>
          <w:p w14:paraId="4073FF76" w14:textId="77777777" w:rsidR="00104CED" w:rsidRPr="00F55BDF" w:rsidRDefault="00104CED"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Effet 1 : Utilisation de l’outil de planification territorial aux fins de l’intégration de la biodiversité</w:t>
            </w:r>
          </w:p>
        </w:tc>
        <w:tc>
          <w:tcPr>
            <w:tcW w:w="2410" w:type="dxa"/>
            <w:tcBorders>
              <w:top w:val="nil"/>
              <w:left w:val="nil"/>
              <w:bottom w:val="single" w:sz="4" w:space="0" w:color="auto"/>
              <w:right w:val="single" w:sz="4" w:space="0" w:color="auto"/>
            </w:tcBorders>
            <w:shd w:val="clear" w:color="auto" w:fill="auto"/>
            <w:vAlign w:val="center"/>
            <w:hideMark/>
          </w:tcPr>
          <w:p w14:paraId="3D1C1D2C" w14:textId="10888B73" w:rsidR="00104CED" w:rsidRPr="00F55BDF" w:rsidRDefault="00104CED"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1 : (a).</w:t>
            </w:r>
            <w:r w:rsidR="008E3FC2" w:rsidRPr="00F55BDF">
              <w:rPr>
                <w:sz w:val="20"/>
                <w:szCs w:val="20"/>
              </w:rPr>
              <w:t xml:space="preserve"> </w:t>
            </w:r>
            <w:r w:rsidR="008E3FC2" w:rsidRPr="00F55BDF">
              <w:rPr>
                <w:rFonts w:eastAsia="Times New Roman" w:cstheme="minorHAnsi"/>
                <w:i/>
                <w:iCs/>
                <w:color w:val="000000"/>
                <w:sz w:val="20"/>
                <w:szCs w:val="20"/>
                <w:lang w:eastAsia="fr-FR"/>
              </w:rPr>
              <w:t>Mise en œuvre des recommandations prescrites dans le PROSCB grâce à une analyse réalisée par l’OPT BD à l’échelle des paysages</w:t>
            </w:r>
          </w:p>
        </w:tc>
        <w:tc>
          <w:tcPr>
            <w:tcW w:w="2268" w:type="dxa"/>
            <w:tcBorders>
              <w:top w:val="nil"/>
              <w:left w:val="nil"/>
              <w:bottom w:val="single" w:sz="4" w:space="0" w:color="auto"/>
              <w:right w:val="single" w:sz="4" w:space="0" w:color="auto"/>
            </w:tcBorders>
            <w:shd w:val="clear" w:color="auto" w:fill="auto"/>
            <w:noWrap/>
            <w:vAlign w:val="center"/>
            <w:hideMark/>
          </w:tcPr>
          <w:p w14:paraId="7A97E983" w14:textId="7A2E4C88" w:rsidR="00104CED" w:rsidRPr="00F55BDF" w:rsidRDefault="008E3FC2" w:rsidP="008267A3">
            <w:pPr>
              <w:pStyle w:val="ListParagraph"/>
              <w:spacing w:after="0" w:line="240" w:lineRule="auto"/>
              <w:ind w:left="57"/>
              <w:rPr>
                <w:rFonts w:eastAsia="Times New Roman" w:cstheme="minorHAnsi"/>
                <w:i/>
                <w:color w:val="000000"/>
                <w:sz w:val="20"/>
                <w:szCs w:val="20"/>
                <w:lang w:val="fr-FR" w:eastAsia="fr-FR"/>
              </w:rPr>
            </w:pPr>
            <w:r w:rsidRPr="00F55BDF">
              <w:rPr>
                <w:rFonts w:eastAsia="Times New Roman" w:cstheme="minorHAnsi"/>
                <w:i/>
                <w:color w:val="000000"/>
                <w:sz w:val="20"/>
                <w:szCs w:val="20"/>
                <w:lang w:val="fr-FR" w:eastAsia="fr-FR"/>
              </w:rPr>
              <w:t>Le système OPT BD n’est pas encore élaboré. Le contrôle de la mise en œuvre du PROSCB se fera à partir de la deuxième année d’existence du projet lorsque le système OPT BD sera lancé et définira les recommandations pour le SRAT et le PRD</w:t>
            </w:r>
          </w:p>
        </w:tc>
        <w:tc>
          <w:tcPr>
            <w:tcW w:w="709" w:type="dxa"/>
            <w:tcBorders>
              <w:top w:val="nil"/>
              <w:left w:val="nil"/>
              <w:bottom w:val="single" w:sz="4" w:space="0" w:color="auto"/>
              <w:right w:val="single" w:sz="4" w:space="0" w:color="auto"/>
            </w:tcBorders>
            <w:shd w:val="clear" w:color="auto" w:fill="auto"/>
            <w:vAlign w:val="center"/>
          </w:tcPr>
          <w:p w14:paraId="30E64033" w14:textId="77777777" w:rsidR="00104CED" w:rsidRPr="00F55BDF" w:rsidRDefault="00104CED" w:rsidP="008267A3">
            <w:pPr>
              <w:spacing w:after="0" w:line="240" w:lineRule="auto"/>
              <w:rPr>
                <w:rFonts w:eastAsia="Times New Roman" w:cstheme="minorHAnsi"/>
                <w:color w:val="000000"/>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0C39B6E1" w14:textId="0AAFC254" w:rsidR="00104CED" w:rsidRPr="00F55BDF" w:rsidRDefault="00104CED" w:rsidP="008267A3">
            <w:pPr>
              <w:spacing w:after="0" w:line="240" w:lineRule="auto"/>
              <w:rPr>
                <w:rFonts w:eastAsia="Times New Roman" w:cstheme="minorHAns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tcPr>
          <w:p w14:paraId="1CFBD606" w14:textId="77777777" w:rsidR="00DF5CF0" w:rsidRPr="00F55BDF" w:rsidRDefault="00DF5CF0"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01 OPT BD</w:t>
            </w:r>
          </w:p>
          <w:p w14:paraId="044E75A1" w14:textId="77777777" w:rsidR="00DF5CF0" w:rsidRPr="00F55BDF" w:rsidRDefault="00DF5CF0" w:rsidP="008267A3">
            <w:pPr>
              <w:spacing w:after="0" w:line="240" w:lineRule="auto"/>
              <w:rPr>
                <w:rFonts w:eastAsia="Times New Roman" w:cstheme="minorHAnsi"/>
                <w:color w:val="000000"/>
                <w:sz w:val="20"/>
                <w:szCs w:val="20"/>
                <w:lang w:eastAsia="fr-FR"/>
              </w:rPr>
            </w:pPr>
          </w:p>
          <w:p w14:paraId="1D297AC1" w14:textId="0A6BDC0D" w:rsidR="00F26A2D" w:rsidRPr="00F55BDF" w:rsidRDefault="00DF5CF0"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01 PRD</w:t>
            </w:r>
          </w:p>
          <w:p w14:paraId="66E582FC" w14:textId="152ADB13" w:rsidR="00DF5CF0" w:rsidRPr="00F55BDF" w:rsidRDefault="00DF5CF0"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01 PROSCB</w:t>
            </w:r>
          </w:p>
          <w:p w14:paraId="35B20F29" w14:textId="78E062EE" w:rsidR="005827D8" w:rsidRPr="00F55BDF" w:rsidRDefault="005827D8" w:rsidP="008267A3">
            <w:pPr>
              <w:spacing w:after="0" w:line="240" w:lineRule="auto"/>
              <w:rPr>
                <w:rFonts w:eastAsia="Times New Roman" w:cstheme="minorHAnsi"/>
                <w:color w:val="000000"/>
                <w:sz w:val="20"/>
                <w:szCs w:val="20"/>
                <w:lang w:eastAsia="fr-FR"/>
              </w:rPr>
            </w:pPr>
          </w:p>
        </w:tc>
        <w:tc>
          <w:tcPr>
            <w:tcW w:w="567" w:type="dxa"/>
            <w:tcBorders>
              <w:top w:val="single" w:sz="4" w:space="0" w:color="auto"/>
              <w:left w:val="nil"/>
              <w:bottom w:val="single" w:sz="4" w:space="0" w:color="auto"/>
              <w:right w:val="single" w:sz="4" w:space="0" w:color="auto"/>
            </w:tcBorders>
          </w:tcPr>
          <w:p w14:paraId="0AFC6A8B" w14:textId="77777777" w:rsidR="00104CED" w:rsidRPr="00F55BDF" w:rsidRDefault="00104CED"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901763" w14:textId="53A06023" w:rsidR="00104CED" w:rsidRPr="00F55BDF" w:rsidRDefault="00DF5CF0"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Le SRAT avec l’annexe PROSCB</w:t>
            </w:r>
          </w:p>
        </w:tc>
        <w:tc>
          <w:tcPr>
            <w:tcW w:w="1701" w:type="dxa"/>
            <w:tcBorders>
              <w:top w:val="single" w:sz="4" w:space="0" w:color="auto"/>
              <w:left w:val="nil"/>
              <w:bottom w:val="single" w:sz="4" w:space="0" w:color="auto"/>
              <w:right w:val="single" w:sz="4" w:space="0" w:color="auto"/>
            </w:tcBorders>
            <w:vAlign w:val="center"/>
          </w:tcPr>
          <w:p w14:paraId="02DDEFFC" w14:textId="046ECA41" w:rsidR="00104CED" w:rsidRPr="00F55BDF" w:rsidRDefault="00DF5CF0"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 Le SRAT a été finalisé avant que l’OPT BD soit opérationnel. Le SRAT sera utilisé pour l’élaboration de l’OPT BD qui lui-même pourra servir de base pour la préparation du PRD en cours d’élaboration (basé sur le SRAT actuel).</w:t>
            </w:r>
          </w:p>
        </w:tc>
        <w:tc>
          <w:tcPr>
            <w:tcW w:w="1559" w:type="dxa"/>
            <w:tcBorders>
              <w:top w:val="nil"/>
              <w:left w:val="nil"/>
              <w:bottom w:val="single" w:sz="4" w:space="0" w:color="auto"/>
              <w:right w:val="single" w:sz="4" w:space="0" w:color="auto"/>
            </w:tcBorders>
            <w:shd w:val="clear" w:color="auto" w:fill="auto"/>
            <w:noWrap/>
            <w:vAlign w:val="center"/>
            <w:hideMark/>
          </w:tcPr>
          <w:p w14:paraId="174C40CF" w14:textId="2E444C1D" w:rsidR="00104CED" w:rsidRPr="00F55BDF" w:rsidRDefault="00DF5CF0"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Document SRAT </w:t>
            </w:r>
          </w:p>
        </w:tc>
        <w:tc>
          <w:tcPr>
            <w:tcW w:w="1560" w:type="dxa"/>
            <w:tcBorders>
              <w:top w:val="nil"/>
              <w:left w:val="nil"/>
              <w:bottom w:val="single" w:sz="4" w:space="0" w:color="auto"/>
              <w:right w:val="single" w:sz="4" w:space="0" w:color="auto"/>
            </w:tcBorders>
            <w:vAlign w:val="center"/>
          </w:tcPr>
          <w:p w14:paraId="635F09C2" w14:textId="151611B4" w:rsidR="00104CED" w:rsidRPr="00F55BDF" w:rsidRDefault="00DF5CF0"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périodiques du projet validés par des évaluations et des examens indépendants</w:t>
            </w:r>
          </w:p>
        </w:tc>
      </w:tr>
      <w:tr w:rsidR="008267A3" w:rsidRPr="00F55BDF" w14:paraId="3B43C6AC" w14:textId="77777777" w:rsidTr="00A8365E">
        <w:trPr>
          <w:trHeight w:val="1651"/>
        </w:trPr>
        <w:tc>
          <w:tcPr>
            <w:tcW w:w="1838" w:type="dxa"/>
            <w:vMerge/>
            <w:tcBorders>
              <w:left w:val="single" w:sz="4" w:space="0" w:color="auto"/>
              <w:bottom w:val="single" w:sz="4" w:space="0" w:color="auto"/>
              <w:right w:val="single" w:sz="4" w:space="0" w:color="auto"/>
            </w:tcBorders>
            <w:shd w:val="clear" w:color="auto" w:fill="auto"/>
            <w:vAlign w:val="center"/>
          </w:tcPr>
          <w:p w14:paraId="1D394D14" w14:textId="77777777" w:rsidR="00104CED" w:rsidRPr="00F55BDF" w:rsidRDefault="00104CED" w:rsidP="008267A3">
            <w:pPr>
              <w:spacing w:after="0" w:line="240" w:lineRule="auto"/>
              <w:rPr>
                <w:rFonts w:eastAsia="Times New Roman" w:cstheme="minorHAnsi"/>
                <w:i/>
                <w:iCs/>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vAlign w:val="center"/>
          </w:tcPr>
          <w:p w14:paraId="3A4EA9A5" w14:textId="27525DE8" w:rsidR="00104CED" w:rsidRPr="00F55BDF" w:rsidRDefault="00104CED"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2 : (b)</w:t>
            </w:r>
            <w:r w:rsidR="006F35D9" w:rsidRPr="00F55BDF">
              <w:rPr>
                <w:rFonts w:eastAsia="Times New Roman" w:cstheme="minorHAnsi"/>
                <w:i/>
                <w:iCs/>
                <w:color w:val="000000"/>
                <w:sz w:val="20"/>
                <w:szCs w:val="20"/>
                <w:lang w:eastAsia="fr-FR"/>
              </w:rPr>
              <w:t xml:space="preserve"> Le plan de gestion, de zonage, les cartes AP (élaborés par la composante OPT BD – PROSCB) sont </w:t>
            </w:r>
            <w:proofErr w:type="gramStart"/>
            <w:r w:rsidR="006F35D9" w:rsidRPr="00F55BDF">
              <w:rPr>
                <w:rFonts w:eastAsia="Times New Roman" w:cstheme="minorHAnsi"/>
                <w:i/>
                <w:iCs/>
                <w:color w:val="000000"/>
                <w:sz w:val="20"/>
                <w:szCs w:val="20"/>
                <w:lang w:eastAsia="fr-FR"/>
              </w:rPr>
              <w:t>intégrés</w:t>
            </w:r>
            <w:proofErr w:type="gramEnd"/>
            <w:r w:rsidR="006F35D9" w:rsidRPr="00F55BDF">
              <w:rPr>
                <w:rFonts w:eastAsia="Times New Roman" w:cstheme="minorHAnsi"/>
                <w:i/>
                <w:iCs/>
                <w:color w:val="000000"/>
                <w:sz w:val="20"/>
                <w:szCs w:val="20"/>
                <w:lang w:eastAsia="fr-FR"/>
              </w:rPr>
              <w:t xml:space="preserve"> dans le SRAT et le PRD</w:t>
            </w:r>
          </w:p>
        </w:tc>
        <w:tc>
          <w:tcPr>
            <w:tcW w:w="2268" w:type="dxa"/>
            <w:tcBorders>
              <w:top w:val="nil"/>
              <w:left w:val="nil"/>
              <w:bottom w:val="single" w:sz="4" w:space="0" w:color="auto"/>
              <w:right w:val="single" w:sz="4" w:space="0" w:color="auto"/>
            </w:tcBorders>
            <w:shd w:val="clear" w:color="auto" w:fill="auto"/>
            <w:noWrap/>
            <w:vAlign w:val="center"/>
          </w:tcPr>
          <w:p w14:paraId="76CEED50" w14:textId="068ED571" w:rsidR="00104CED" w:rsidRPr="00F55BDF" w:rsidRDefault="006F35D9"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Le SRAT sans le PROSCB (OPT BD) et le PRD sans l’OPT BD</w:t>
            </w:r>
          </w:p>
        </w:tc>
        <w:tc>
          <w:tcPr>
            <w:tcW w:w="709" w:type="dxa"/>
            <w:tcBorders>
              <w:top w:val="nil"/>
              <w:left w:val="nil"/>
              <w:bottom w:val="single" w:sz="4" w:space="0" w:color="auto"/>
              <w:right w:val="single" w:sz="4" w:space="0" w:color="auto"/>
            </w:tcBorders>
            <w:shd w:val="clear" w:color="auto" w:fill="auto"/>
            <w:vAlign w:val="center"/>
          </w:tcPr>
          <w:p w14:paraId="7B73161D" w14:textId="66A5C87A" w:rsidR="00104CED" w:rsidRPr="00F55BDF" w:rsidRDefault="00630D35" w:rsidP="008267A3">
            <w:pPr>
              <w:spacing w:after="0" w:line="240" w:lineRule="auto"/>
              <w:rPr>
                <w:rFonts w:eastAsia="Times New Roman" w:cstheme="minorHAnsi"/>
                <w:color w:val="0070C0"/>
                <w:sz w:val="20"/>
                <w:szCs w:val="20"/>
                <w:lang w:eastAsia="fr-FR"/>
              </w:rPr>
            </w:pPr>
            <w:r w:rsidRPr="00F55BDF">
              <w:rPr>
                <w:rFonts w:eastAsia="Times New Roman" w:cstheme="minorHAnsi"/>
                <w:sz w:val="20"/>
                <w:szCs w:val="20"/>
                <w:lang w:eastAsia="fr-FR"/>
              </w:rPr>
              <w:t>SRAT</w:t>
            </w:r>
          </w:p>
        </w:tc>
        <w:tc>
          <w:tcPr>
            <w:tcW w:w="992" w:type="dxa"/>
            <w:gridSpan w:val="2"/>
            <w:tcBorders>
              <w:top w:val="nil"/>
              <w:left w:val="nil"/>
              <w:bottom w:val="single" w:sz="4" w:space="0" w:color="auto"/>
              <w:right w:val="single" w:sz="4" w:space="0" w:color="auto"/>
            </w:tcBorders>
            <w:shd w:val="clear" w:color="auto" w:fill="auto"/>
            <w:vAlign w:val="center"/>
          </w:tcPr>
          <w:p w14:paraId="092440B6" w14:textId="3F90D89D" w:rsidR="00104CED" w:rsidRPr="00F55BDF" w:rsidRDefault="00630D35"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SRAT</w:t>
            </w:r>
          </w:p>
        </w:tc>
        <w:tc>
          <w:tcPr>
            <w:tcW w:w="1134" w:type="dxa"/>
            <w:tcBorders>
              <w:top w:val="nil"/>
              <w:left w:val="nil"/>
              <w:bottom w:val="single" w:sz="4" w:space="0" w:color="auto"/>
              <w:right w:val="single" w:sz="4" w:space="0" w:color="auto"/>
            </w:tcBorders>
            <w:shd w:val="clear" w:color="auto" w:fill="auto"/>
            <w:vAlign w:val="center"/>
          </w:tcPr>
          <w:p w14:paraId="0461F4CB" w14:textId="77777777" w:rsidR="00104CED" w:rsidRPr="00F55BDF" w:rsidRDefault="00630D35"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01 PRD</w:t>
            </w:r>
          </w:p>
          <w:p w14:paraId="4ED3486E" w14:textId="2D07194A" w:rsidR="00630D35" w:rsidRPr="00F55BDF" w:rsidRDefault="00630D35" w:rsidP="008267A3">
            <w:pPr>
              <w:spacing w:after="0" w:line="240" w:lineRule="auto"/>
              <w:rPr>
                <w:rFonts w:eastAsia="Times New Roman" w:cstheme="minorHAnsi"/>
                <w:color w:val="000000"/>
                <w:sz w:val="20"/>
                <w:szCs w:val="20"/>
                <w:lang w:eastAsia="fr-FR"/>
              </w:rPr>
            </w:pPr>
          </w:p>
        </w:tc>
        <w:tc>
          <w:tcPr>
            <w:tcW w:w="567" w:type="dxa"/>
            <w:tcBorders>
              <w:top w:val="single" w:sz="4" w:space="0" w:color="auto"/>
              <w:left w:val="nil"/>
              <w:bottom w:val="single" w:sz="4" w:space="0" w:color="auto"/>
              <w:right w:val="single" w:sz="4" w:space="0" w:color="auto"/>
            </w:tcBorders>
          </w:tcPr>
          <w:p w14:paraId="1A8E7449" w14:textId="77777777" w:rsidR="00104CED" w:rsidRPr="00F55BDF" w:rsidRDefault="00104CED"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0FE391" w14:textId="6787E81D" w:rsidR="00104CED" w:rsidRPr="00F55BDF" w:rsidRDefault="006F35D9" w:rsidP="008267A3">
            <w:pPr>
              <w:pStyle w:val="ListParagraph"/>
              <w:spacing w:after="0" w:line="240" w:lineRule="auto"/>
              <w:ind w:left="0"/>
              <w:rPr>
                <w:rFonts w:eastAsia="Times New Roman" w:cstheme="minorHAnsi"/>
                <w:color w:val="000000"/>
                <w:sz w:val="20"/>
                <w:szCs w:val="20"/>
                <w:lang w:val="fr-FR" w:eastAsia="fr-FR"/>
              </w:rPr>
            </w:pPr>
            <w:r w:rsidRPr="00F55BDF">
              <w:rPr>
                <w:rFonts w:eastAsia="Times New Roman" w:cstheme="minorHAnsi"/>
                <w:color w:val="000000"/>
                <w:sz w:val="20"/>
                <w:szCs w:val="20"/>
                <w:lang w:val="fr-FR" w:eastAsia="fr-FR"/>
              </w:rPr>
              <w:t>100% du contenu du PRD relatif à la planification sont conformes aux orientations du PROSCB (OPT BD) annexes au SRAT</w:t>
            </w:r>
          </w:p>
        </w:tc>
        <w:tc>
          <w:tcPr>
            <w:tcW w:w="1701" w:type="dxa"/>
            <w:tcBorders>
              <w:top w:val="single" w:sz="4" w:space="0" w:color="auto"/>
              <w:left w:val="nil"/>
              <w:bottom w:val="single" w:sz="4" w:space="0" w:color="auto"/>
              <w:right w:val="single" w:sz="4" w:space="0" w:color="auto"/>
            </w:tcBorders>
            <w:vAlign w:val="center"/>
          </w:tcPr>
          <w:p w14:paraId="0A9A23B8" w14:textId="2397AC39" w:rsidR="00104CED"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w:t>
            </w:r>
            <w:proofErr w:type="gramStart"/>
            <w:r w:rsidRPr="00F55BDF">
              <w:rPr>
                <w:rFonts w:eastAsia="Times New Roman" w:cstheme="minorHAnsi"/>
                <w:color w:val="000000"/>
                <w:sz w:val="20"/>
                <w:szCs w:val="20"/>
                <w:lang w:eastAsia="fr-FR"/>
              </w:rPr>
              <w:t>i</w:t>
            </w:r>
            <w:proofErr w:type="gramEnd"/>
            <w:r w:rsidRPr="00F55BDF">
              <w:rPr>
                <w:rFonts w:eastAsia="Times New Roman" w:cstheme="minorHAnsi"/>
                <w:color w:val="000000"/>
                <w:sz w:val="20"/>
                <w:szCs w:val="20"/>
                <w:lang w:eastAsia="fr-FR"/>
              </w:rPr>
              <w:t>)PRD </w:t>
            </w:r>
            <w:r w:rsidR="00E73198" w:rsidRPr="00F55BDF">
              <w:rPr>
                <w:rFonts w:eastAsia="Times New Roman" w:cstheme="minorHAnsi"/>
                <w:color w:val="000000"/>
                <w:sz w:val="20"/>
                <w:szCs w:val="20"/>
                <w:lang w:eastAsia="fr-FR"/>
              </w:rPr>
              <w:t xml:space="preserve">(2019 – 2023) </w:t>
            </w:r>
            <w:r w:rsidRPr="00F55BDF">
              <w:rPr>
                <w:rFonts w:eastAsia="Times New Roman" w:cstheme="minorHAnsi"/>
                <w:color w:val="000000"/>
                <w:sz w:val="20"/>
                <w:szCs w:val="20"/>
                <w:lang w:eastAsia="fr-FR"/>
              </w:rPr>
              <w:t>: document élaboré et validé, intégrant l’OPT BD et le PROSCB. (ii) SRAT : N/A (</w:t>
            </w:r>
          </w:p>
        </w:tc>
        <w:tc>
          <w:tcPr>
            <w:tcW w:w="1559" w:type="dxa"/>
            <w:tcBorders>
              <w:top w:val="nil"/>
              <w:left w:val="nil"/>
              <w:bottom w:val="single" w:sz="4" w:space="0" w:color="auto"/>
              <w:right w:val="single" w:sz="4" w:space="0" w:color="auto"/>
            </w:tcBorders>
            <w:shd w:val="clear" w:color="auto" w:fill="auto"/>
            <w:noWrap/>
            <w:vAlign w:val="center"/>
          </w:tcPr>
          <w:p w14:paraId="56590EDA" w14:textId="4FF2AC54" w:rsidR="00104CED" w:rsidRPr="00F55BDF" w:rsidRDefault="00104CED" w:rsidP="008267A3">
            <w:pPr>
              <w:spacing w:after="0" w:line="240" w:lineRule="auto"/>
              <w:rPr>
                <w:rFonts w:eastAsia="Times New Roman" w:cstheme="minorHAnsi"/>
                <w:color w:val="000000"/>
                <w:sz w:val="20"/>
                <w:szCs w:val="20"/>
                <w:lang w:eastAsia="fr-FR"/>
              </w:rPr>
            </w:pPr>
          </w:p>
        </w:tc>
        <w:tc>
          <w:tcPr>
            <w:tcW w:w="1560" w:type="dxa"/>
            <w:tcBorders>
              <w:top w:val="nil"/>
              <w:left w:val="nil"/>
              <w:bottom w:val="single" w:sz="4" w:space="0" w:color="auto"/>
              <w:right w:val="single" w:sz="4" w:space="0" w:color="auto"/>
            </w:tcBorders>
            <w:vAlign w:val="center"/>
          </w:tcPr>
          <w:p w14:paraId="319BA633" w14:textId="47A692A4" w:rsidR="00104CED"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PV d’engagement des parties prenantes pour le PRD </w:t>
            </w:r>
            <w:r w:rsidR="00E73198" w:rsidRPr="00F55BDF">
              <w:rPr>
                <w:rFonts w:eastAsia="Times New Roman" w:cstheme="minorHAnsi"/>
                <w:color w:val="000000"/>
                <w:sz w:val="20"/>
                <w:szCs w:val="20"/>
                <w:lang w:eastAsia="fr-FR"/>
              </w:rPr>
              <w:t xml:space="preserve">lors de la remise officielle, juin 2019 </w:t>
            </w:r>
            <w:r w:rsidRPr="00F55BDF">
              <w:rPr>
                <w:rFonts w:eastAsia="Times New Roman" w:cstheme="minorHAnsi"/>
                <w:color w:val="000000"/>
                <w:sz w:val="20"/>
                <w:szCs w:val="20"/>
                <w:lang w:eastAsia="fr-FR"/>
              </w:rPr>
              <w:t xml:space="preserve">(Région </w:t>
            </w:r>
            <w:proofErr w:type="spellStart"/>
            <w:r w:rsidRPr="00F55BDF">
              <w:rPr>
                <w:rFonts w:eastAsia="Times New Roman" w:cstheme="minorHAnsi"/>
                <w:color w:val="000000"/>
                <w:sz w:val="20"/>
                <w:szCs w:val="20"/>
                <w:lang w:eastAsia="fr-FR"/>
              </w:rPr>
              <w:t>Atsimo</w:t>
            </w:r>
            <w:proofErr w:type="spellEnd"/>
            <w:r w:rsidRPr="00F55BDF">
              <w:rPr>
                <w:rFonts w:eastAsia="Times New Roman" w:cstheme="minorHAnsi"/>
                <w:color w:val="000000"/>
                <w:sz w:val="20"/>
                <w:szCs w:val="20"/>
                <w:lang w:eastAsia="fr-FR"/>
              </w:rPr>
              <w:t xml:space="preserve"> </w:t>
            </w:r>
            <w:proofErr w:type="spellStart"/>
            <w:r w:rsidRPr="00F55BDF">
              <w:rPr>
                <w:rFonts w:eastAsia="Times New Roman" w:cstheme="minorHAnsi"/>
                <w:color w:val="000000"/>
                <w:sz w:val="20"/>
                <w:szCs w:val="20"/>
                <w:lang w:eastAsia="fr-FR"/>
              </w:rPr>
              <w:t>Andrefana</w:t>
            </w:r>
            <w:proofErr w:type="spellEnd"/>
            <w:r w:rsidRPr="00F55BDF">
              <w:rPr>
                <w:rFonts w:eastAsia="Times New Roman" w:cstheme="minorHAnsi"/>
                <w:color w:val="000000"/>
                <w:sz w:val="20"/>
                <w:szCs w:val="20"/>
                <w:lang w:eastAsia="fr-FR"/>
              </w:rPr>
              <w:t>)</w:t>
            </w:r>
            <w:r w:rsidR="00E73198" w:rsidRPr="00F55BDF">
              <w:rPr>
                <w:rFonts w:eastAsia="Times New Roman" w:cstheme="minorHAnsi"/>
                <w:color w:val="000000"/>
                <w:sz w:val="20"/>
                <w:szCs w:val="20"/>
                <w:lang w:eastAsia="fr-FR"/>
              </w:rPr>
              <w:t xml:space="preserve">. </w:t>
            </w:r>
          </w:p>
        </w:tc>
      </w:tr>
      <w:tr w:rsidR="0034155E" w:rsidRPr="00F55BDF" w14:paraId="7671BFF9" w14:textId="77777777" w:rsidTr="00A8365E">
        <w:trPr>
          <w:trHeight w:val="1651"/>
        </w:trPr>
        <w:tc>
          <w:tcPr>
            <w:tcW w:w="1838" w:type="dxa"/>
            <w:tcBorders>
              <w:left w:val="single" w:sz="4" w:space="0" w:color="auto"/>
              <w:bottom w:val="single" w:sz="4" w:space="0" w:color="auto"/>
              <w:right w:val="single" w:sz="4" w:space="0" w:color="auto"/>
            </w:tcBorders>
            <w:shd w:val="clear" w:color="auto" w:fill="auto"/>
            <w:vAlign w:val="center"/>
          </w:tcPr>
          <w:p w14:paraId="6EBA89E7" w14:textId="77777777" w:rsidR="0034155E" w:rsidRPr="00F55BDF" w:rsidRDefault="0034155E" w:rsidP="008267A3">
            <w:pPr>
              <w:spacing w:after="0" w:line="240" w:lineRule="auto"/>
              <w:rPr>
                <w:rFonts w:eastAsia="Times New Roman" w:cstheme="minorHAnsi"/>
                <w:i/>
                <w:iCs/>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vAlign w:val="center"/>
          </w:tcPr>
          <w:p w14:paraId="6AB8D590" w14:textId="5DE62EBD" w:rsidR="0034155E" w:rsidRPr="00F55BDF" w:rsidRDefault="0034155E" w:rsidP="0034155E">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3 : (i) : Nombre d'</w:t>
            </w:r>
            <w:r w:rsidR="00A8365E" w:rsidRPr="00F55BDF">
              <w:rPr>
                <w:rFonts w:eastAsia="Times New Roman" w:cstheme="minorHAnsi"/>
                <w:i/>
                <w:iCs/>
                <w:color w:val="000000"/>
                <w:sz w:val="20"/>
                <w:szCs w:val="20"/>
                <w:lang w:eastAsia="fr-FR"/>
              </w:rPr>
              <w:t>OBER</w:t>
            </w:r>
            <w:r w:rsidRPr="00F55BDF">
              <w:rPr>
                <w:rFonts w:eastAsia="Times New Roman" w:cstheme="minorHAnsi"/>
                <w:i/>
                <w:iCs/>
                <w:color w:val="000000"/>
                <w:sz w:val="20"/>
                <w:szCs w:val="20"/>
                <w:lang w:eastAsia="fr-FR"/>
              </w:rPr>
              <w:t xml:space="preserve"> mis en place</w:t>
            </w:r>
          </w:p>
          <w:p w14:paraId="05495A35" w14:textId="5C9DC73F" w:rsidR="0034155E" w:rsidRPr="00F55BDF" w:rsidRDefault="0034155E" w:rsidP="0034155E">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Nombre de secteur représenté dans l'O</w:t>
            </w:r>
            <w:r w:rsidR="00A8365E" w:rsidRPr="00F55BDF">
              <w:rPr>
                <w:rFonts w:eastAsia="Times New Roman" w:cstheme="minorHAnsi"/>
                <w:i/>
                <w:iCs/>
                <w:color w:val="000000"/>
                <w:sz w:val="20"/>
                <w:szCs w:val="20"/>
                <w:lang w:eastAsia="fr-FR"/>
              </w:rPr>
              <w:t>bservatoire de la Biodiversité et des Ecosystèmes Régionaux (0</w:t>
            </w:r>
            <w:r w:rsidRPr="00F55BDF">
              <w:rPr>
                <w:rFonts w:eastAsia="Times New Roman" w:cstheme="minorHAnsi"/>
                <w:i/>
                <w:iCs/>
                <w:color w:val="000000"/>
                <w:sz w:val="20"/>
                <w:szCs w:val="20"/>
                <w:lang w:eastAsia="fr-FR"/>
              </w:rPr>
              <w:t>BE</w:t>
            </w:r>
            <w:r w:rsidR="00A8365E" w:rsidRPr="00F55BDF">
              <w:rPr>
                <w:rFonts w:eastAsia="Times New Roman" w:cstheme="minorHAnsi"/>
                <w:i/>
                <w:iCs/>
                <w:color w:val="000000"/>
                <w:sz w:val="20"/>
                <w:szCs w:val="20"/>
                <w:lang w:eastAsia="fr-FR"/>
              </w:rPr>
              <w:t>R)</w:t>
            </w:r>
          </w:p>
        </w:tc>
        <w:tc>
          <w:tcPr>
            <w:tcW w:w="2268" w:type="dxa"/>
            <w:tcBorders>
              <w:top w:val="nil"/>
              <w:left w:val="nil"/>
              <w:bottom w:val="single" w:sz="4" w:space="0" w:color="auto"/>
              <w:right w:val="single" w:sz="4" w:space="0" w:color="auto"/>
            </w:tcBorders>
            <w:shd w:val="clear" w:color="auto" w:fill="auto"/>
            <w:noWrap/>
            <w:vAlign w:val="center"/>
          </w:tcPr>
          <w:p w14:paraId="6A165D52" w14:textId="629BF89A" w:rsidR="0034155E" w:rsidRPr="00F55BDF" w:rsidRDefault="00A8365E"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0</w:t>
            </w:r>
          </w:p>
        </w:tc>
        <w:tc>
          <w:tcPr>
            <w:tcW w:w="709" w:type="dxa"/>
            <w:tcBorders>
              <w:top w:val="nil"/>
              <w:left w:val="nil"/>
              <w:bottom w:val="single" w:sz="4" w:space="0" w:color="auto"/>
              <w:right w:val="single" w:sz="4" w:space="0" w:color="auto"/>
            </w:tcBorders>
            <w:shd w:val="clear" w:color="auto" w:fill="auto"/>
            <w:vAlign w:val="center"/>
          </w:tcPr>
          <w:p w14:paraId="77070A39" w14:textId="77777777" w:rsidR="0034155E" w:rsidRPr="00F55BDF" w:rsidRDefault="0034155E" w:rsidP="008267A3">
            <w:pPr>
              <w:spacing w:after="0" w:line="240" w:lineRule="auto"/>
              <w:rPr>
                <w:rFonts w:eastAsia="Times New Roman" w:cstheme="minorHAnsi"/>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64201B13" w14:textId="4E3598B6" w:rsidR="0034155E" w:rsidRPr="00F55BDF" w:rsidRDefault="00A836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w:t>
            </w:r>
          </w:p>
        </w:tc>
        <w:tc>
          <w:tcPr>
            <w:tcW w:w="1134" w:type="dxa"/>
            <w:tcBorders>
              <w:top w:val="nil"/>
              <w:left w:val="nil"/>
              <w:bottom w:val="single" w:sz="4" w:space="0" w:color="auto"/>
              <w:right w:val="single" w:sz="4" w:space="0" w:color="auto"/>
            </w:tcBorders>
            <w:shd w:val="clear" w:color="auto" w:fill="auto"/>
            <w:vAlign w:val="center"/>
          </w:tcPr>
          <w:p w14:paraId="3EBB972C" w14:textId="275BCA47" w:rsidR="0034155E" w:rsidRPr="00F55BDF" w:rsidRDefault="00A836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 : structure de l’OBER validé. Arrêté régional non signé</w:t>
            </w:r>
          </w:p>
        </w:tc>
        <w:tc>
          <w:tcPr>
            <w:tcW w:w="567" w:type="dxa"/>
            <w:tcBorders>
              <w:top w:val="single" w:sz="4" w:space="0" w:color="auto"/>
              <w:left w:val="nil"/>
              <w:bottom w:val="single" w:sz="4" w:space="0" w:color="auto"/>
              <w:right w:val="single" w:sz="4" w:space="0" w:color="auto"/>
            </w:tcBorders>
          </w:tcPr>
          <w:p w14:paraId="3DA342B5" w14:textId="77777777" w:rsidR="0034155E" w:rsidRPr="00F55BDF" w:rsidRDefault="0034155E"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42FDC9" w14:textId="6915E91E" w:rsidR="0034155E" w:rsidRPr="00F55BDF" w:rsidRDefault="00A8365E" w:rsidP="008267A3">
            <w:pPr>
              <w:pStyle w:val="ListParagraph"/>
              <w:spacing w:after="0" w:line="240" w:lineRule="auto"/>
              <w:ind w:left="0"/>
              <w:rPr>
                <w:rFonts w:eastAsia="Times New Roman" w:cstheme="minorHAnsi"/>
                <w:color w:val="000000"/>
                <w:sz w:val="20"/>
                <w:szCs w:val="20"/>
                <w:lang w:val="fr-FR" w:eastAsia="fr-FR"/>
              </w:rPr>
            </w:pPr>
            <w:r w:rsidRPr="00F55BDF">
              <w:rPr>
                <w:rFonts w:eastAsia="Times New Roman" w:cstheme="minorHAnsi"/>
                <w:color w:val="000000"/>
                <w:sz w:val="20"/>
                <w:szCs w:val="20"/>
                <w:lang w:val="fr-FR" w:eastAsia="fr-FR"/>
              </w:rPr>
              <w:t xml:space="preserve">1 </w:t>
            </w:r>
          </w:p>
        </w:tc>
        <w:tc>
          <w:tcPr>
            <w:tcW w:w="1701" w:type="dxa"/>
            <w:tcBorders>
              <w:top w:val="single" w:sz="4" w:space="0" w:color="auto"/>
              <w:left w:val="nil"/>
              <w:bottom w:val="single" w:sz="4" w:space="0" w:color="auto"/>
              <w:right w:val="single" w:sz="4" w:space="0" w:color="auto"/>
            </w:tcBorders>
            <w:vAlign w:val="center"/>
          </w:tcPr>
          <w:p w14:paraId="140ECE4E" w14:textId="69A085B0" w:rsidR="0034155E" w:rsidRPr="00F55BDF" w:rsidRDefault="00A836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Valeur 2019 : la structuration de l’OBER est validée avec les secteurs représentés (COPIL). En revanche, son opérationnalisation dépend de l’opérationnalisation de l’OPTBD (décembre 2019). </w:t>
            </w:r>
          </w:p>
        </w:tc>
        <w:tc>
          <w:tcPr>
            <w:tcW w:w="1559" w:type="dxa"/>
            <w:tcBorders>
              <w:top w:val="nil"/>
              <w:left w:val="nil"/>
              <w:bottom w:val="single" w:sz="4" w:space="0" w:color="auto"/>
              <w:right w:val="single" w:sz="4" w:space="0" w:color="auto"/>
            </w:tcBorders>
            <w:shd w:val="clear" w:color="auto" w:fill="auto"/>
            <w:noWrap/>
            <w:vAlign w:val="center"/>
          </w:tcPr>
          <w:p w14:paraId="170D485A" w14:textId="7F5D7522" w:rsidR="0034155E" w:rsidRPr="00F55BDF" w:rsidRDefault="00A836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Vérification de l'arrêté de mise en place et de la composition de l'OBER</w:t>
            </w:r>
          </w:p>
        </w:tc>
        <w:tc>
          <w:tcPr>
            <w:tcW w:w="1560" w:type="dxa"/>
            <w:tcBorders>
              <w:top w:val="nil"/>
              <w:left w:val="nil"/>
              <w:bottom w:val="single" w:sz="4" w:space="0" w:color="auto"/>
              <w:right w:val="single" w:sz="4" w:space="0" w:color="auto"/>
            </w:tcBorders>
            <w:vAlign w:val="center"/>
          </w:tcPr>
          <w:p w14:paraId="739D5924" w14:textId="3C724030" w:rsidR="0034155E" w:rsidRPr="00F55BDF" w:rsidRDefault="00A836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Arrêté régional de mise en place de l'OBER</w:t>
            </w:r>
          </w:p>
        </w:tc>
      </w:tr>
      <w:tr w:rsidR="008E3FC2" w:rsidRPr="00F55BDF" w14:paraId="0013427F" w14:textId="77777777" w:rsidTr="00A8365E">
        <w:trPr>
          <w:trHeight w:val="799"/>
        </w:trPr>
        <w:tc>
          <w:tcPr>
            <w:tcW w:w="1838" w:type="dxa"/>
            <w:vMerge w:val="restart"/>
            <w:tcBorders>
              <w:top w:val="nil"/>
              <w:left w:val="single" w:sz="4" w:space="0" w:color="auto"/>
              <w:right w:val="single" w:sz="4" w:space="0" w:color="auto"/>
            </w:tcBorders>
            <w:shd w:val="clear" w:color="auto" w:fill="auto"/>
            <w:vAlign w:val="center"/>
          </w:tcPr>
          <w:p w14:paraId="32298DA6" w14:textId="77777777" w:rsidR="008E3FC2" w:rsidRPr="00F55BDF" w:rsidRDefault="008E3FC2"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Effet 2 : Les réponses du SO2 TT de la partie III concernant les « pratiques de gestion »</w:t>
            </w:r>
          </w:p>
        </w:tc>
        <w:tc>
          <w:tcPr>
            <w:tcW w:w="2410" w:type="dxa"/>
            <w:tcBorders>
              <w:top w:val="nil"/>
              <w:left w:val="nil"/>
              <w:bottom w:val="single" w:sz="4" w:space="0" w:color="auto"/>
              <w:right w:val="single" w:sz="4" w:space="0" w:color="auto"/>
            </w:tcBorders>
            <w:shd w:val="clear" w:color="auto" w:fill="auto"/>
            <w:vAlign w:val="center"/>
          </w:tcPr>
          <w:p w14:paraId="7F2BF8FC" w14:textId="513E23E3" w:rsidR="008E3FC2" w:rsidRPr="00F55BDF" w:rsidRDefault="008E3FC2"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1 : (a) Superficie appliquant un système de gestion améliorée de la biodiversité.</w:t>
            </w:r>
          </w:p>
        </w:tc>
        <w:tc>
          <w:tcPr>
            <w:tcW w:w="2268" w:type="dxa"/>
            <w:tcBorders>
              <w:top w:val="nil"/>
              <w:left w:val="nil"/>
              <w:bottom w:val="single" w:sz="4" w:space="0" w:color="auto"/>
              <w:right w:val="single" w:sz="4" w:space="0" w:color="auto"/>
            </w:tcBorders>
            <w:shd w:val="clear" w:color="auto" w:fill="auto"/>
            <w:noWrap/>
            <w:vAlign w:val="center"/>
          </w:tcPr>
          <w:p w14:paraId="54FBDA06" w14:textId="1C03E390" w:rsidR="008E3FC2" w:rsidRPr="00F55BDF" w:rsidRDefault="008E3FC2" w:rsidP="008267A3">
            <w:pPr>
              <w:spacing w:after="0" w:line="240" w:lineRule="auto"/>
              <w:jc w:val="both"/>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0 ha</w:t>
            </w:r>
            <w:r w:rsidR="007B255E" w:rsidRPr="00F55BDF">
              <w:rPr>
                <w:rFonts w:eastAsia="Times New Roman" w:cstheme="minorHAnsi"/>
                <w:i/>
                <w:color w:val="000000"/>
                <w:sz w:val="20"/>
                <w:szCs w:val="20"/>
                <w:lang w:eastAsia="fr-FR"/>
              </w:rPr>
              <w:t> (Observation : les 2 400 000 Ha ne sont pas la superficie des 03 Districts</w:t>
            </w:r>
            <w:r w:rsidR="00462D15" w:rsidRPr="00F55BDF">
              <w:rPr>
                <w:rFonts w:eastAsia="Times New Roman" w:cstheme="minorHAnsi"/>
                <w:i/>
                <w:color w:val="000000"/>
                <w:sz w:val="20"/>
                <w:szCs w:val="20"/>
                <w:lang w:eastAsia="fr-FR"/>
              </w:rPr>
              <w:t>, comme mentionné dans le Plan de Suivi</w:t>
            </w:r>
            <w:r w:rsidR="007B255E" w:rsidRPr="00F55BDF">
              <w:rPr>
                <w:rFonts w:eastAsia="Times New Roman" w:cstheme="minorHAnsi"/>
                <w:i/>
                <w:color w:val="000000"/>
                <w:sz w:val="20"/>
                <w:szCs w:val="20"/>
                <w:lang w:eastAsia="fr-FR"/>
              </w:rPr>
              <w:t xml:space="preserve">. Ce sont plutôt la superficie approximative des AP, TGRN, zones potentielles pour la conservation, futures APC, </w:t>
            </w:r>
            <w:r w:rsidR="00462D15" w:rsidRPr="00F55BDF">
              <w:rPr>
                <w:rFonts w:eastAsia="Times New Roman" w:cstheme="minorHAnsi"/>
                <w:i/>
                <w:color w:val="000000"/>
                <w:sz w:val="20"/>
                <w:szCs w:val="20"/>
                <w:lang w:eastAsia="fr-FR"/>
              </w:rPr>
              <w:t xml:space="preserve">connectivité des infrastructures vertes dans la Région </w:t>
            </w:r>
            <w:proofErr w:type="spellStart"/>
            <w:r w:rsidR="00462D15" w:rsidRPr="00F55BDF">
              <w:rPr>
                <w:rFonts w:eastAsia="Times New Roman" w:cstheme="minorHAnsi"/>
                <w:i/>
                <w:color w:val="000000"/>
                <w:sz w:val="20"/>
                <w:szCs w:val="20"/>
                <w:lang w:eastAsia="fr-FR"/>
              </w:rPr>
              <w:t>Atsimo</w:t>
            </w:r>
            <w:proofErr w:type="spellEnd"/>
            <w:r w:rsidR="00462D15" w:rsidRPr="00F55BDF">
              <w:rPr>
                <w:rFonts w:eastAsia="Times New Roman" w:cstheme="minorHAnsi"/>
                <w:i/>
                <w:color w:val="000000"/>
                <w:sz w:val="20"/>
                <w:szCs w:val="20"/>
                <w:lang w:eastAsia="fr-FR"/>
              </w:rPr>
              <w:t xml:space="preserve"> </w:t>
            </w:r>
            <w:proofErr w:type="spellStart"/>
            <w:r w:rsidR="00462D15" w:rsidRPr="00F55BDF">
              <w:rPr>
                <w:rFonts w:eastAsia="Times New Roman" w:cstheme="minorHAnsi"/>
                <w:i/>
                <w:color w:val="000000"/>
                <w:sz w:val="20"/>
                <w:szCs w:val="20"/>
                <w:lang w:eastAsia="fr-FR"/>
              </w:rPr>
              <w:t>Andrefana</w:t>
            </w:r>
            <w:proofErr w:type="spellEnd"/>
            <w:r w:rsidR="00462D15" w:rsidRPr="00F55BDF">
              <w:rPr>
                <w:rFonts w:eastAsia="Times New Roman" w:cstheme="minorHAnsi"/>
                <w:i/>
                <w:color w:val="000000"/>
                <w:sz w:val="20"/>
                <w:szCs w:val="20"/>
                <w:lang w:eastAsia="fr-FR"/>
              </w:rPr>
              <w:t xml:space="preserve">). Le calcul en juin 2017 donne 2 080 000 Ha. </w:t>
            </w:r>
            <w:proofErr w:type="gramStart"/>
            <w:r w:rsidR="00462D15" w:rsidRPr="00F55BDF">
              <w:rPr>
                <w:rFonts w:eastAsia="Times New Roman" w:cstheme="minorHAnsi"/>
                <w:i/>
                <w:color w:val="000000"/>
                <w:sz w:val="20"/>
                <w:szCs w:val="20"/>
                <w:lang w:eastAsia="fr-FR"/>
              </w:rPr>
              <w:t>les</w:t>
            </w:r>
            <w:proofErr w:type="gramEnd"/>
            <w:r w:rsidR="00462D15" w:rsidRPr="00F55BDF">
              <w:rPr>
                <w:rFonts w:eastAsia="Times New Roman" w:cstheme="minorHAnsi"/>
                <w:i/>
                <w:color w:val="000000"/>
                <w:sz w:val="20"/>
                <w:szCs w:val="20"/>
                <w:lang w:eastAsia="fr-FR"/>
              </w:rPr>
              <w:t xml:space="preserve"> 2 400 000 Ha sont issus du calcul de 2014, l’année de la conception du projet. Il y a la perte des habitats entre 2014 et 2017, année de démarrage du projet en 2017.</w:t>
            </w:r>
          </w:p>
        </w:tc>
        <w:tc>
          <w:tcPr>
            <w:tcW w:w="709" w:type="dxa"/>
            <w:tcBorders>
              <w:top w:val="nil"/>
              <w:left w:val="nil"/>
              <w:bottom w:val="single" w:sz="4" w:space="0" w:color="auto"/>
              <w:right w:val="single" w:sz="4" w:space="0" w:color="auto"/>
            </w:tcBorders>
            <w:shd w:val="clear" w:color="auto" w:fill="auto"/>
            <w:vAlign w:val="center"/>
          </w:tcPr>
          <w:p w14:paraId="5CE80965" w14:textId="77777777" w:rsidR="008E3FC2" w:rsidRPr="00F55BDF" w:rsidRDefault="008E3FC2" w:rsidP="008267A3">
            <w:pPr>
              <w:spacing w:after="0" w:line="240" w:lineRule="auto"/>
              <w:rPr>
                <w:rFonts w:eastAsia="Times New Roman" w:cstheme="minorHAnsi"/>
                <w:color w:val="000000"/>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4CBD5323" w14:textId="12A558CB" w:rsidR="008E3FC2" w:rsidRPr="00F55BDF" w:rsidRDefault="008E3FC2"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786 000 ha (08 AP ayant des statuts de création définitive)</w:t>
            </w:r>
          </w:p>
        </w:tc>
        <w:tc>
          <w:tcPr>
            <w:tcW w:w="1134" w:type="dxa"/>
            <w:tcBorders>
              <w:top w:val="nil"/>
              <w:left w:val="nil"/>
              <w:bottom w:val="single" w:sz="4" w:space="0" w:color="auto"/>
              <w:right w:val="single" w:sz="4" w:space="0" w:color="auto"/>
            </w:tcBorders>
            <w:shd w:val="clear" w:color="auto" w:fill="auto"/>
            <w:vAlign w:val="center"/>
          </w:tcPr>
          <w:p w14:paraId="162B51B0" w14:textId="65D08376" w:rsidR="008E3FC2" w:rsidRPr="00F55BDF" w:rsidRDefault="007B255E" w:rsidP="008267A3">
            <w:pPr>
              <w:spacing w:after="0" w:line="240" w:lineRule="auto"/>
              <w:rPr>
                <w:rFonts w:eastAsia="Times New Roman" w:cstheme="minorHAnsi"/>
                <w:color w:val="0070C0"/>
                <w:sz w:val="20"/>
                <w:szCs w:val="20"/>
                <w:lang w:eastAsia="fr-FR"/>
              </w:rPr>
            </w:pPr>
            <w:r w:rsidRPr="00F55BDF">
              <w:rPr>
                <w:rFonts w:eastAsia="Times New Roman" w:cstheme="minorHAnsi"/>
                <w:sz w:val="20"/>
                <w:szCs w:val="20"/>
                <w:lang w:eastAsia="fr-FR"/>
              </w:rPr>
              <w:t>10</w:t>
            </w:r>
            <w:r w:rsidR="008E3FC2" w:rsidRPr="00F55BDF">
              <w:rPr>
                <w:rFonts w:eastAsia="Times New Roman" w:cstheme="minorHAnsi"/>
                <w:sz w:val="20"/>
                <w:szCs w:val="20"/>
                <w:lang w:eastAsia="fr-FR"/>
              </w:rPr>
              <w:t xml:space="preserve"> AP + TGRN </w:t>
            </w:r>
            <w:r w:rsidRPr="00F55BDF">
              <w:rPr>
                <w:rFonts w:eastAsia="Times New Roman" w:cstheme="minorHAnsi"/>
                <w:sz w:val="20"/>
                <w:szCs w:val="20"/>
                <w:lang w:eastAsia="fr-FR"/>
              </w:rPr>
              <w:t>avec des contrats valides : 1 165 375 Ha</w:t>
            </w:r>
          </w:p>
        </w:tc>
        <w:tc>
          <w:tcPr>
            <w:tcW w:w="567" w:type="dxa"/>
            <w:tcBorders>
              <w:top w:val="single" w:sz="4" w:space="0" w:color="auto"/>
              <w:left w:val="nil"/>
              <w:bottom w:val="single" w:sz="4" w:space="0" w:color="auto"/>
              <w:right w:val="single" w:sz="4" w:space="0" w:color="auto"/>
            </w:tcBorders>
          </w:tcPr>
          <w:p w14:paraId="16E99CF7" w14:textId="77777777" w:rsidR="008E3FC2" w:rsidRPr="00F55BDF" w:rsidRDefault="008E3FC2"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3762E9" w14:textId="77777777" w:rsidR="008E3FC2" w:rsidRPr="00F55BDF" w:rsidRDefault="008E3FC2"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2 400 000 ha</w:t>
            </w:r>
          </w:p>
        </w:tc>
        <w:tc>
          <w:tcPr>
            <w:tcW w:w="1701" w:type="dxa"/>
            <w:tcBorders>
              <w:top w:val="single" w:sz="4" w:space="0" w:color="auto"/>
              <w:left w:val="nil"/>
              <w:bottom w:val="single" w:sz="4" w:space="0" w:color="auto"/>
              <w:right w:val="single" w:sz="4" w:space="0" w:color="auto"/>
            </w:tcBorders>
          </w:tcPr>
          <w:p w14:paraId="3CE3EDC5" w14:textId="0EF77F03" w:rsidR="007B255E" w:rsidRPr="00F55BDF" w:rsidRDefault="007B2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Valeur 2019 :  1 165 375 Ha.  </w:t>
            </w:r>
          </w:p>
          <w:p w14:paraId="36DA3A72" w14:textId="33222185" w:rsidR="008E3FC2" w:rsidRPr="00F55BDF" w:rsidRDefault="007B2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w:t>
            </w:r>
            <w:r w:rsidR="008E3FC2" w:rsidRPr="00F55BDF">
              <w:rPr>
                <w:rFonts w:eastAsia="Times New Roman" w:cstheme="minorHAnsi"/>
                <w:color w:val="000000"/>
                <w:sz w:val="20"/>
                <w:szCs w:val="20"/>
                <w:lang w:eastAsia="fr-FR"/>
              </w:rPr>
              <w:t xml:space="preserve">10 AP ont effectué un METT </w:t>
            </w:r>
            <w:r w:rsidRPr="00F55BDF">
              <w:rPr>
                <w:rFonts w:eastAsia="Times New Roman" w:cstheme="minorHAnsi"/>
                <w:color w:val="000000"/>
                <w:sz w:val="20"/>
                <w:szCs w:val="20"/>
                <w:lang w:eastAsia="fr-FR"/>
              </w:rPr>
              <w:t xml:space="preserve">et les </w:t>
            </w:r>
            <w:r w:rsidR="008E3FC2" w:rsidRPr="00F55BDF">
              <w:rPr>
                <w:rFonts w:eastAsia="Times New Roman" w:cstheme="minorHAnsi"/>
                <w:color w:val="000000"/>
                <w:sz w:val="20"/>
                <w:szCs w:val="20"/>
                <w:lang w:eastAsia="fr-FR"/>
              </w:rPr>
              <w:t>T</w:t>
            </w:r>
            <w:r w:rsidRPr="00F55BDF">
              <w:rPr>
                <w:rFonts w:eastAsia="Times New Roman" w:cstheme="minorHAnsi"/>
                <w:color w:val="000000"/>
                <w:sz w:val="20"/>
                <w:szCs w:val="20"/>
                <w:lang w:eastAsia="fr-FR"/>
              </w:rPr>
              <w:t xml:space="preserve">ransferts de Gestion des Ressources Naturelles (TGRN) qui </w:t>
            </w:r>
            <w:r w:rsidR="008E3FC2" w:rsidRPr="00F55BDF">
              <w:rPr>
                <w:rFonts w:eastAsia="Times New Roman" w:cstheme="minorHAnsi"/>
                <w:color w:val="000000"/>
                <w:sz w:val="20"/>
                <w:szCs w:val="20"/>
                <w:lang w:eastAsia="fr-FR"/>
              </w:rPr>
              <w:t>ont des contrats d</w:t>
            </w:r>
            <w:r w:rsidRPr="00F55BDF">
              <w:rPr>
                <w:rFonts w:eastAsia="Times New Roman" w:cstheme="minorHAnsi"/>
                <w:color w:val="000000"/>
                <w:sz w:val="20"/>
                <w:szCs w:val="20"/>
                <w:lang w:eastAsia="fr-FR"/>
              </w:rPr>
              <w:t>e</w:t>
            </w:r>
            <w:r w:rsidR="008E3FC2" w:rsidRPr="00F55BDF">
              <w:rPr>
                <w:rFonts w:eastAsia="Times New Roman" w:cstheme="minorHAnsi"/>
                <w:color w:val="000000"/>
                <w:sz w:val="20"/>
                <w:szCs w:val="20"/>
                <w:lang w:eastAsia="fr-FR"/>
              </w:rPr>
              <w:t xml:space="preserve"> gestion valides </w:t>
            </w:r>
          </w:p>
        </w:tc>
        <w:tc>
          <w:tcPr>
            <w:tcW w:w="1559" w:type="dxa"/>
            <w:tcBorders>
              <w:top w:val="nil"/>
              <w:left w:val="nil"/>
              <w:bottom w:val="single" w:sz="4" w:space="0" w:color="auto"/>
              <w:right w:val="single" w:sz="4" w:space="0" w:color="auto"/>
            </w:tcBorders>
            <w:shd w:val="clear" w:color="auto" w:fill="auto"/>
            <w:noWrap/>
            <w:vAlign w:val="center"/>
          </w:tcPr>
          <w:p w14:paraId="6D00EAEC" w14:textId="536DDBF3" w:rsidR="008E3FC2" w:rsidRPr="00F55BDF" w:rsidRDefault="007B2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w:t>
            </w:r>
            <w:r w:rsidR="008E3FC2" w:rsidRPr="00F55BDF">
              <w:rPr>
                <w:rFonts w:eastAsia="Times New Roman" w:cstheme="minorHAnsi"/>
                <w:color w:val="000000"/>
                <w:sz w:val="20"/>
                <w:szCs w:val="20"/>
                <w:lang w:eastAsia="fr-FR"/>
              </w:rPr>
              <w:t>Analyse comparative des Plans d'occupation du sol</w:t>
            </w:r>
          </w:p>
        </w:tc>
        <w:tc>
          <w:tcPr>
            <w:tcW w:w="1560" w:type="dxa"/>
            <w:tcBorders>
              <w:top w:val="single" w:sz="4" w:space="0" w:color="auto"/>
              <w:left w:val="nil"/>
              <w:bottom w:val="single" w:sz="4" w:space="0" w:color="auto"/>
              <w:right w:val="single" w:sz="4" w:space="0" w:color="auto"/>
            </w:tcBorders>
            <w:vAlign w:val="center"/>
          </w:tcPr>
          <w:p w14:paraId="36B6D087" w14:textId="77777777" w:rsidR="008E3FC2" w:rsidRPr="00F55BDF" w:rsidRDefault="008E3FC2"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-Plan d'occupation du sol </w:t>
            </w:r>
          </w:p>
          <w:p w14:paraId="574152D3" w14:textId="1E6A9AB2" w:rsidR="008E3FC2" w:rsidRPr="00F55BDF" w:rsidRDefault="008E3FC2" w:rsidP="008267A3">
            <w:pPr>
              <w:spacing w:after="0" w:line="240" w:lineRule="auto"/>
              <w:jc w:val="center"/>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-Rapports périodiques de projet validés par des examens et des évaluations indépendantes </w:t>
            </w:r>
          </w:p>
        </w:tc>
      </w:tr>
      <w:tr w:rsidR="006F35D9" w:rsidRPr="00F55BDF" w14:paraId="6612D5DD" w14:textId="77777777" w:rsidTr="00A8365E">
        <w:trPr>
          <w:trHeight w:val="1651"/>
        </w:trPr>
        <w:tc>
          <w:tcPr>
            <w:tcW w:w="1838" w:type="dxa"/>
            <w:vMerge/>
            <w:tcBorders>
              <w:left w:val="single" w:sz="4" w:space="0" w:color="auto"/>
              <w:bottom w:val="single" w:sz="4" w:space="0" w:color="auto"/>
              <w:right w:val="single" w:sz="4" w:space="0" w:color="auto"/>
            </w:tcBorders>
            <w:shd w:val="clear" w:color="auto" w:fill="auto"/>
            <w:vAlign w:val="center"/>
          </w:tcPr>
          <w:p w14:paraId="7DEAAD71" w14:textId="77777777" w:rsidR="006F35D9" w:rsidRPr="00F55BDF" w:rsidRDefault="006F35D9" w:rsidP="008267A3">
            <w:pPr>
              <w:spacing w:after="0" w:line="240" w:lineRule="auto"/>
              <w:rPr>
                <w:rFonts w:eastAsia="Times New Roman" w:cstheme="minorHAnsi"/>
                <w:i/>
                <w:iCs/>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vAlign w:val="center"/>
          </w:tcPr>
          <w:p w14:paraId="02C57BAA" w14:textId="4956563D"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2 : (b) Taux de réduction des empiètements des investissements économiques à l'intérieur des AP et APC </w:t>
            </w:r>
          </w:p>
          <w:p w14:paraId="2F0CC7CE" w14:textId="5D80E112" w:rsidR="006F35D9" w:rsidRPr="00F55BDF" w:rsidRDefault="006F35D9" w:rsidP="008267A3">
            <w:pPr>
              <w:spacing w:after="0" w:line="240" w:lineRule="auto"/>
              <w:rPr>
                <w:rFonts w:eastAsia="Times New Roman" w:cstheme="minorHAnsi"/>
                <w:i/>
                <w:iCs/>
                <w:color w:val="00000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tcPr>
          <w:p w14:paraId="185A05C7" w14:textId="230999D7" w:rsidR="006F35D9" w:rsidRPr="00F55BDF" w:rsidRDefault="006F35D9"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w:t>
            </w:r>
            <w:proofErr w:type="gramStart"/>
            <w:r w:rsidRPr="00F55BDF">
              <w:rPr>
                <w:rFonts w:eastAsia="Times New Roman" w:cstheme="minorHAnsi"/>
                <w:i/>
                <w:color w:val="000000"/>
                <w:sz w:val="20"/>
                <w:szCs w:val="20"/>
                <w:lang w:eastAsia="fr-FR"/>
              </w:rPr>
              <w:t>i</w:t>
            </w:r>
            <w:proofErr w:type="gramEnd"/>
            <w:r w:rsidRPr="00F55BDF">
              <w:rPr>
                <w:rFonts w:eastAsia="Times New Roman" w:cstheme="minorHAnsi"/>
                <w:i/>
                <w:color w:val="000000"/>
                <w:sz w:val="20"/>
                <w:szCs w:val="20"/>
                <w:lang w:eastAsia="fr-FR"/>
              </w:rPr>
              <w:t xml:space="preserve">)Valeur </w:t>
            </w:r>
            <w:r w:rsidR="007B255E" w:rsidRPr="00F55BDF">
              <w:rPr>
                <w:rFonts w:eastAsia="Times New Roman" w:cstheme="minorHAnsi"/>
                <w:i/>
                <w:color w:val="000000"/>
                <w:sz w:val="20"/>
                <w:szCs w:val="20"/>
                <w:lang w:eastAsia="fr-FR"/>
              </w:rPr>
              <w:t>2017</w:t>
            </w:r>
            <w:r w:rsidRPr="00F55BDF">
              <w:rPr>
                <w:rFonts w:eastAsia="Times New Roman" w:cstheme="minorHAnsi"/>
                <w:i/>
                <w:color w:val="000000"/>
                <w:sz w:val="20"/>
                <w:szCs w:val="20"/>
                <w:lang w:eastAsia="fr-FR"/>
              </w:rPr>
              <w:t xml:space="preserve"> : </w:t>
            </w:r>
            <w:r w:rsidR="007B255E" w:rsidRPr="00F55BDF">
              <w:rPr>
                <w:rFonts w:eastAsia="Times New Roman" w:cstheme="minorHAnsi"/>
                <w:i/>
                <w:color w:val="000000"/>
                <w:sz w:val="20"/>
                <w:szCs w:val="20"/>
                <w:lang w:eastAsia="fr-FR"/>
              </w:rPr>
              <w:t>AP</w:t>
            </w:r>
            <w:r w:rsidR="00462D15" w:rsidRPr="00F55BDF">
              <w:rPr>
                <w:rFonts w:eastAsia="Times New Roman" w:cstheme="minorHAnsi"/>
                <w:i/>
                <w:color w:val="000000"/>
                <w:sz w:val="20"/>
                <w:szCs w:val="20"/>
                <w:lang w:eastAsia="fr-FR"/>
              </w:rPr>
              <w:t xml:space="preserve"> existantes</w:t>
            </w:r>
            <w:r w:rsidR="007B255E" w:rsidRPr="00F55BDF">
              <w:rPr>
                <w:rFonts w:eastAsia="Times New Roman" w:cstheme="minorHAnsi"/>
                <w:i/>
                <w:color w:val="000000"/>
                <w:sz w:val="20"/>
                <w:szCs w:val="20"/>
                <w:lang w:eastAsia="fr-FR"/>
              </w:rPr>
              <w:t xml:space="preserve"> et futures A</w:t>
            </w:r>
            <w:r w:rsidR="00462D15" w:rsidRPr="00F55BDF">
              <w:rPr>
                <w:rFonts w:eastAsia="Times New Roman" w:cstheme="minorHAnsi"/>
                <w:i/>
                <w:color w:val="000000"/>
                <w:sz w:val="20"/>
                <w:szCs w:val="20"/>
                <w:lang w:eastAsia="fr-FR"/>
              </w:rPr>
              <w:t>C</w:t>
            </w:r>
            <w:r w:rsidR="007B255E" w:rsidRPr="00F55BDF">
              <w:rPr>
                <w:rFonts w:eastAsia="Times New Roman" w:cstheme="minorHAnsi"/>
                <w:i/>
                <w:color w:val="000000"/>
                <w:sz w:val="20"/>
                <w:szCs w:val="20"/>
                <w:lang w:eastAsia="fr-FR"/>
              </w:rPr>
              <w:t>C : 131 422 Ha de superposition avec les mines.</w:t>
            </w:r>
            <w:r w:rsidRPr="00F55BDF">
              <w:rPr>
                <w:rFonts w:eastAsia="Times New Roman" w:cstheme="minorHAnsi"/>
                <w:i/>
                <w:color w:val="000000"/>
                <w:sz w:val="20"/>
                <w:szCs w:val="20"/>
                <w:lang w:eastAsia="fr-FR"/>
              </w:rPr>
              <w:t xml:space="preserve"> (ii) valeur avec les 07 APC à calculer en 2020 à partir de l’opérationnalisation de l’OPT BD et l’obtention des statuts de protection temporaires des 07 APC.</w:t>
            </w:r>
          </w:p>
        </w:tc>
        <w:tc>
          <w:tcPr>
            <w:tcW w:w="709" w:type="dxa"/>
            <w:tcBorders>
              <w:top w:val="nil"/>
              <w:left w:val="nil"/>
              <w:bottom w:val="single" w:sz="4" w:space="0" w:color="auto"/>
              <w:right w:val="single" w:sz="4" w:space="0" w:color="auto"/>
            </w:tcBorders>
            <w:shd w:val="clear" w:color="auto" w:fill="auto"/>
            <w:vAlign w:val="center"/>
          </w:tcPr>
          <w:p w14:paraId="509C51E6"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17FEBDA6" w14:textId="08A665E7" w:rsidR="006F35D9" w:rsidRPr="00F55BDF" w:rsidRDefault="006F35D9" w:rsidP="008267A3">
            <w:pPr>
              <w:spacing w:after="0" w:line="240" w:lineRule="auto"/>
              <w:rPr>
                <w:rFonts w:eastAsia="Times New Roman" w:cstheme="minorHAnsi"/>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vAlign w:val="center"/>
          </w:tcPr>
          <w:p w14:paraId="22BE3BA9" w14:textId="173EE040" w:rsidR="006F35D9" w:rsidRPr="00F55BDF" w:rsidRDefault="00630D35"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Réduit de 29%</w:t>
            </w:r>
            <w:r w:rsidR="00156062" w:rsidRPr="00F55BDF">
              <w:rPr>
                <w:rFonts w:eastAsia="Times New Roman" w:cstheme="minorHAnsi"/>
                <w:color w:val="000000"/>
                <w:sz w:val="20"/>
                <w:szCs w:val="20"/>
                <w:lang w:eastAsia="fr-FR"/>
              </w:rPr>
              <w:t xml:space="preserve"> (Mines)</w:t>
            </w:r>
          </w:p>
        </w:tc>
        <w:tc>
          <w:tcPr>
            <w:tcW w:w="567" w:type="dxa"/>
            <w:tcBorders>
              <w:top w:val="single" w:sz="4" w:space="0" w:color="auto"/>
              <w:left w:val="nil"/>
              <w:bottom w:val="single" w:sz="4" w:space="0" w:color="auto"/>
              <w:right w:val="single" w:sz="4" w:space="0" w:color="auto"/>
            </w:tcBorders>
          </w:tcPr>
          <w:p w14:paraId="77037844"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29B98B" w14:textId="474B74F1"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Réduit de 25%</w:t>
            </w:r>
          </w:p>
        </w:tc>
        <w:tc>
          <w:tcPr>
            <w:tcW w:w="1701" w:type="dxa"/>
            <w:tcBorders>
              <w:top w:val="single" w:sz="4" w:space="0" w:color="auto"/>
              <w:left w:val="nil"/>
              <w:bottom w:val="single" w:sz="4" w:space="0" w:color="auto"/>
              <w:right w:val="single" w:sz="4" w:space="0" w:color="auto"/>
            </w:tcBorders>
            <w:vAlign w:val="center"/>
          </w:tcPr>
          <w:p w14:paraId="6ABFF89D" w14:textId="414C5ECB" w:rsidR="006F35D9" w:rsidRPr="00F55BDF" w:rsidRDefault="007B2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Valeur 2019 : réduit de 29% (92 756 Ha) par rapport à la valeur (i) de 2017. </w:t>
            </w:r>
            <w:r w:rsidR="00156062" w:rsidRPr="00F55BDF">
              <w:rPr>
                <w:rFonts w:eastAsia="Times New Roman" w:cstheme="minorHAnsi"/>
                <w:color w:val="000000"/>
                <w:sz w:val="20"/>
                <w:szCs w:val="20"/>
                <w:lang w:eastAsia="fr-FR"/>
              </w:rPr>
              <w:t>Mines uniquement ;</w:t>
            </w:r>
            <w:r w:rsidR="00E436DC" w:rsidRPr="00F55BDF">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485F17D4" w14:textId="185407E6"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-OPTBD</w:t>
            </w:r>
            <w:r w:rsidR="00462D15" w:rsidRPr="00F55BDF">
              <w:rPr>
                <w:rFonts w:eastAsia="Times New Roman" w:cstheme="minorHAnsi"/>
                <w:color w:val="000000"/>
                <w:sz w:val="20"/>
                <w:szCs w:val="20"/>
                <w:lang w:eastAsia="fr-FR"/>
              </w:rPr>
              <w:t xml:space="preserve"> (2020, 2021, 2022)</w:t>
            </w:r>
          </w:p>
          <w:p w14:paraId="61B1872F" w14:textId="240B463D"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périodiques de projet validés par des examens et des évaluations indépendantes</w:t>
            </w:r>
            <w:r w:rsidR="00E436DC" w:rsidRPr="00F55BDF">
              <w:rPr>
                <w:rFonts w:eastAsia="Times New Roman" w:cstheme="minorHAnsi"/>
                <w:color w:val="000000"/>
                <w:sz w:val="20"/>
                <w:szCs w:val="20"/>
                <w:lang w:eastAsia="fr-FR"/>
              </w:rPr>
              <w:t xml:space="preserve"> (dans Plan de suivi du Projet : 2020)</w:t>
            </w:r>
          </w:p>
        </w:tc>
        <w:tc>
          <w:tcPr>
            <w:tcW w:w="1560" w:type="dxa"/>
            <w:tcBorders>
              <w:top w:val="single" w:sz="4" w:space="0" w:color="auto"/>
              <w:left w:val="nil"/>
              <w:bottom w:val="single" w:sz="4" w:space="0" w:color="auto"/>
              <w:right w:val="single" w:sz="4" w:space="0" w:color="auto"/>
            </w:tcBorders>
            <w:vAlign w:val="center"/>
          </w:tcPr>
          <w:p w14:paraId="01905C09" w14:textId="6740B6BC"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-Consultation OPTBD</w:t>
            </w:r>
          </w:p>
          <w:p w14:paraId="729C0258" w14:textId="38AF44A8"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-Evaluation indépendante</w:t>
            </w:r>
          </w:p>
        </w:tc>
      </w:tr>
      <w:tr w:rsidR="00120C64" w:rsidRPr="00F55BDF" w14:paraId="6C6F86C3" w14:textId="77777777" w:rsidTr="00A8365E">
        <w:trPr>
          <w:trHeight w:val="1651"/>
        </w:trPr>
        <w:tc>
          <w:tcPr>
            <w:tcW w:w="1838" w:type="dxa"/>
            <w:tcBorders>
              <w:left w:val="single" w:sz="4" w:space="0" w:color="auto"/>
              <w:bottom w:val="single" w:sz="4" w:space="0" w:color="auto"/>
              <w:right w:val="single" w:sz="4" w:space="0" w:color="auto"/>
            </w:tcBorders>
            <w:shd w:val="clear" w:color="auto" w:fill="auto"/>
            <w:vAlign w:val="center"/>
          </w:tcPr>
          <w:p w14:paraId="245D7DEF" w14:textId="77777777" w:rsidR="00120C64" w:rsidRPr="00F55BDF" w:rsidRDefault="00120C64" w:rsidP="008267A3">
            <w:pPr>
              <w:spacing w:after="0" w:line="240" w:lineRule="auto"/>
              <w:rPr>
                <w:rFonts w:eastAsia="Times New Roman" w:cstheme="minorHAnsi"/>
                <w:i/>
                <w:iCs/>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vAlign w:val="center"/>
          </w:tcPr>
          <w:p w14:paraId="31B509EC" w14:textId="6D658DAA" w:rsidR="00120C64" w:rsidRPr="00F55BDF" w:rsidRDefault="00120C64"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3 : (d) Taux de réalisation des “mesures d’atténuation” à l’échelle des paysages (dans le cadre de la partie III du SO2 TT “Pratiques de gestion”)</w:t>
            </w:r>
          </w:p>
        </w:tc>
        <w:tc>
          <w:tcPr>
            <w:tcW w:w="2268" w:type="dxa"/>
            <w:tcBorders>
              <w:top w:val="nil"/>
              <w:left w:val="nil"/>
              <w:bottom w:val="single" w:sz="4" w:space="0" w:color="auto"/>
              <w:right w:val="single" w:sz="4" w:space="0" w:color="auto"/>
            </w:tcBorders>
            <w:shd w:val="clear" w:color="auto" w:fill="auto"/>
            <w:noWrap/>
            <w:vAlign w:val="center"/>
          </w:tcPr>
          <w:p w14:paraId="2285F5C9" w14:textId="77777777" w:rsidR="00120C64" w:rsidRPr="00F55BDF" w:rsidRDefault="00120C64"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0 sur 220 </w:t>
            </w:r>
          </w:p>
          <w:p w14:paraId="094A833F" w14:textId="30A8AF41" w:rsidR="00056893" w:rsidRPr="00F55BDF" w:rsidRDefault="00056893"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La mise en œuvre n’a pas été systématiquement tentée dans la région de l’AA en tant que pratique de gestion de la biodiversité</w:t>
            </w:r>
          </w:p>
        </w:tc>
        <w:tc>
          <w:tcPr>
            <w:tcW w:w="709" w:type="dxa"/>
            <w:tcBorders>
              <w:top w:val="nil"/>
              <w:left w:val="nil"/>
              <w:bottom w:val="single" w:sz="4" w:space="0" w:color="auto"/>
              <w:right w:val="single" w:sz="4" w:space="0" w:color="auto"/>
            </w:tcBorders>
            <w:shd w:val="clear" w:color="auto" w:fill="auto"/>
            <w:vAlign w:val="center"/>
          </w:tcPr>
          <w:p w14:paraId="0A99B991" w14:textId="77777777" w:rsidR="00120C64" w:rsidRPr="00F55BDF" w:rsidRDefault="00120C64" w:rsidP="008267A3">
            <w:pPr>
              <w:spacing w:after="0" w:line="240" w:lineRule="auto"/>
              <w:rPr>
                <w:rFonts w:eastAsia="Times New Roman" w:cstheme="minorHAnsi"/>
                <w:color w:val="000000"/>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4670B390" w14:textId="13C30E54" w:rsidR="00120C64" w:rsidRPr="00F55BDF" w:rsidRDefault="0005689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Identification secteur privé : « Toliara Sands »</w:t>
            </w:r>
          </w:p>
        </w:tc>
        <w:tc>
          <w:tcPr>
            <w:tcW w:w="1134" w:type="dxa"/>
            <w:tcBorders>
              <w:top w:val="nil"/>
              <w:left w:val="nil"/>
              <w:bottom w:val="single" w:sz="4" w:space="0" w:color="auto"/>
              <w:right w:val="single" w:sz="4" w:space="0" w:color="auto"/>
            </w:tcBorders>
            <w:shd w:val="clear" w:color="auto" w:fill="auto"/>
            <w:vAlign w:val="center"/>
          </w:tcPr>
          <w:p w14:paraId="6CA56484" w14:textId="6FE254AA" w:rsidR="00120C64" w:rsidRPr="00F55BDF" w:rsidRDefault="0005689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Non initié : contestation </w:t>
            </w:r>
            <w:proofErr w:type="gramStart"/>
            <w:r w:rsidRPr="00F55BDF">
              <w:rPr>
                <w:rFonts w:eastAsia="Times New Roman" w:cstheme="minorHAnsi"/>
                <w:color w:val="000000"/>
                <w:sz w:val="20"/>
                <w:szCs w:val="20"/>
                <w:lang w:eastAsia="fr-FR"/>
              </w:rPr>
              <w:t>sociale  au</w:t>
            </w:r>
            <w:proofErr w:type="gramEnd"/>
            <w:r w:rsidRPr="00F55BDF">
              <w:rPr>
                <w:rFonts w:eastAsia="Times New Roman" w:cstheme="minorHAnsi"/>
                <w:color w:val="000000"/>
                <w:sz w:val="20"/>
                <w:szCs w:val="20"/>
                <w:lang w:eastAsia="fr-FR"/>
              </w:rPr>
              <w:t xml:space="preserve"> démarrage de « Toliara Sands » (activités suspendues par l’Etat)</w:t>
            </w:r>
          </w:p>
        </w:tc>
        <w:tc>
          <w:tcPr>
            <w:tcW w:w="567" w:type="dxa"/>
            <w:tcBorders>
              <w:top w:val="single" w:sz="4" w:space="0" w:color="auto"/>
              <w:left w:val="nil"/>
              <w:bottom w:val="single" w:sz="4" w:space="0" w:color="auto"/>
              <w:right w:val="single" w:sz="4" w:space="0" w:color="auto"/>
            </w:tcBorders>
          </w:tcPr>
          <w:p w14:paraId="200E078D" w14:textId="77777777" w:rsidR="00120C64" w:rsidRPr="00F55BDF" w:rsidRDefault="00120C64"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447FC4" w14:textId="39763485" w:rsidR="00120C64" w:rsidRPr="00F55BDF" w:rsidRDefault="0005689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100 sur 220 </w:t>
            </w:r>
          </w:p>
        </w:tc>
        <w:tc>
          <w:tcPr>
            <w:tcW w:w="1701" w:type="dxa"/>
            <w:tcBorders>
              <w:top w:val="single" w:sz="4" w:space="0" w:color="auto"/>
              <w:left w:val="nil"/>
              <w:bottom w:val="single" w:sz="4" w:space="0" w:color="auto"/>
              <w:right w:val="single" w:sz="4" w:space="0" w:color="auto"/>
            </w:tcBorders>
            <w:vAlign w:val="center"/>
          </w:tcPr>
          <w:p w14:paraId="26F095E4" w14:textId="77777777" w:rsidR="00120C64" w:rsidRPr="00F55BDF" w:rsidRDefault="0005689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Valeur 2019 : 0</w:t>
            </w:r>
          </w:p>
          <w:p w14:paraId="3FE67059" w14:textId="5B56AB25" w:rsidR="00E436DC" w:rsidRPr="00F55BDF" w:rsidRDefault="00E436DC" w:rsidP="008267A3">
            <w:pPr>
              <w:spacing w:after="0" w:line="240" w:lineRule="auto"/>
              <w:rPr>
                <w:rFonts w:eastAsia="Times New Roman" w:cstheme="minorHAnsi"/>
                <w:color w:val="000000"/>
                <w:sz w:val="20"/>
                <w:szCs w:val="20"/>
                <w:lang w:eastAsia="fr-FR"/>
              </w:rPr>
            </w:pPr>
          </w:p>
        </w:tc>
        <w:tc>
          <w:tcPr>
            <w:tcW w:w="1559" w:type="dxa"/>
            <w:tcBorders>
              <w:top w:val="nil"/>
              <w:left w:val="nil"/>
              <w:bottom w:val="single" w:sz="4" w:space="0" w:color="auto"/>
              <w:right w:val="single" w:sz="4" w:space="0" w:color="auto"/>
            </w:tcBorders>
            <w:shd w:val="clear" w:color="auto" w:fill="auto"/>
            <w:noWrap/>
            <w:vAlign w:val="center"/>
          </w:tcPr>
          <w:p w14:paraId="24349183" w14:textId="2FE6FF05" w:rsidR="00056893" w:rsidRPr="00F55BDF" w:rsidRDefault="00056893" w:rsidP="0005689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-SO2 TT partie III</w:t>
            </w:r>
          </w:p>
          <w:p w14:paraId="0670E0A0" w14:textId="4BD2243A" w:rsidR="00120C64" w:rsidRPr="00F55BDF" w:rsidRDefault="00056893" w:rsidP="0005689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périodiques de projet validés par des examens et des évaluations indépendantes</w:t>
            </w:r>
          </w:p>
        </w:tc>
        <w:tc>
          <w:tcPr>
            <w:tcW w:w="1560" w:type="dxa"/>
            <w:tcBorders>
              <w:top w:val="single" w:sz="4" w:space="0" w:color="auto"/>
              <w:left w:val="nil"/>
              <w:bottom w:val="single" w:sz="4" w:space="0" w:color="auto"/>
              <w:right w:val="single" w:sz="4" w:space="0" w:color="auto"/>
            </w:tcBorders>
            <w:vAlign w:val="center"/>
          </w:tcPr>
          <w:p w14:paraId="336608E2" w14:textId="688C07FC" w:rsidR="00120C64" w:rsidRPr="00F55BDF" w:rsidRDefault="0005689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Collecte et analyse de </w:t>
            </w:r>
            <w:proofErr w:type="gramStart"/>
            <w:r w:rsidRPr="00F55BDF">
              <w:rPr>
                <w:rFonts w:eastAsia="Times New Roman" w:cstheme="minorHAnsi"/>
                <w:color w:val="000000"/>
                <w:sz w:val="20"/>
                <w:szCs w:val="20"/>
                <w:lang w:eastAsia="fr-FR"/>
              </w:rPr>
              <w:t>l'outil  SO</w:t>
            </w:r>
            <w:proofErr w:type="gramEnd"/>
            <w:r w:rsidRPr="00F55BDF">
              <w:rPr>
                <w:rFonts w:eastAsia="Times New Roman" w:cstheme="minorHAnsi"/>
                <w:color w:val="000000"/>
                <w:sz w:val="20"/>
                <w:szCs w:val="20"/>
                <w:lang w:eastAsia="fr-FR"/>
              </w:rPr>
              <w:t>2 TT partie III</w:t>
            </w:r>
          </w:p>
        </w:tc>
      </w:tr>
      <w:tr w:rsidR="008267A3" w:rsidRPr="00F55BDF" w14:paraId="766C81F9" w14:textId="77777777" w:rsidTr="00A8365E">
        <w:trPr>
          <w:trHeight w:val="1651"/>
        </w:trPr>
        <w:tc>
          <w:tcPr>
            <w:tcW w:w="1838" w:type="dxa"/>
            <w:vMerge w:val="restart"/>
            <w:tcBorders>
              <w:top w:val="nil"/>
              <w:left w:val="single" w:sz="4" w:space="0" w:color="auto"/>
              <w:right w:val="single" w:sz="4" w:space="0" w:color="auto"/>
            </w:tcBorders>
            <w:shd w:val="clear" w:color="auto" w:fill="auto"/>
            <w:vAlign w:val="center"/>
          </w:tcPr>
          <w:p w14:paraId="7BA36EB3" w14:textId="77777777"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Effet 3 : Bénéficiaires des activités de la composante 2 du projet, appui et financement</w:t>
            </w:r>
          </w:p>
        </w:tc>
        <w:tc>
          <w:tcPr>
            <w:tcW w:w="2410" w:type="dxa"/>
            <w:tcBorders>
              <w:top w:val="nil"/>
              <w:left w:val="nil"/>
              <w:bottom w:val="single" w:sz="4" w:space="0" w:color="auto"/>
              <w:right w:val="single" w:sz="4" w:space="0" w:color="auto"/>
            </w:tcBorders>
            <w:shd w:val="clear" w:color="auto" w:fill="auto"/>
            <w:vAlign w:val="center"/>
          </w:tcPr>
          <w:p w14:paraId="47DACD0D" w14:textId="6BF894C3"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1 : </w:t>
            </w:r>
            <w:r w:rsidR="00120C64" w:rsidRPr="00F55BDF">
              <w:rPr>
                <w:rFonts w:eastAsia="Times New Roman" w:cstheme="minorHAnsi"/>
                <w:i/>
                <w:iCs/>
                <w:color w:val="000000"/>
                <w:sz w:val="20"/>
                <w:szCs w:val="20"/>
                <w:lang w:eastAsia="fr-FR"/>
              </w:rPr>
              <w:t>(</w:t>
            </w:r>
            <w:r w:rsidR="00E73198" w:rsidRPr="00F55BDF">
              <w:rPr>
                <w:rFonts w:eastAsia="Times New Roman" w:cstheme="minorHAnsi"/>
                <w:i/>
                <w:iCs/>
                <w:color w:val="000000"/>
                <w:sz w:val="20"/>
                <w:szCs w:val="20"/>
                <w:lang w:eastAsia="fr-FR"/>
              </w:rPr>
              <w:t>e) Nombre de fokontany ayant bénéficié l'appui du projet</w:t>
            </w:r>
          </w:p>
        </w:tc>
        <w:tc>
          <w:tcPr>
            <w:tcW w:w="2268" w:type="dxa"/>
            <w:tcBorders>
              <w:top w:val="nil"/>
              <w:left w:val="nil"/>
              <w:bottom w:val="single" w:sz="4" w:space="0" w:color="auto"/>
              <w:right w:val="single" w:sz="4" w:space="0" w:color="auto"/>
            </w:tcBorders>
            <w:shd w:val="clear" w:color="auto" w:fill="auto"/>
            <w:noWrap/>
            <w:vAlign w:val="center"/>
          </w:tcPr>
          <w:p w14:paraId="2FF947A9" w14:textId="77777777" w:rsidR="006F35D9" w:rsidRPr="00F55BDF" w:rsidRDefault="006F35D9"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0</w:t>
            </w:r>
          </w:p>
        </w:tc>
        <w:tc>
          <w:tcPr>
            <w:tcW w:w="709" w:type="dxa"/>
            <w:tcBorders>
              <w:top w:val="nil"/>
              <w:left w:val="nil"/>
              <w:bottom w:val="single" w:sz="4" w:space="0" w:color="auto"/>
              <w:right w:val="single" w:sz="4" w:space="0" w:color="auto"/>
            </w:tcBorders>
            <w:shd w:val="clear" w:color="auto" w:fill="auto"/>
            <w:vAlign w:val="center"/>
          </w:tcPr>
          <w:p w14:paraId="093EF35E"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4F0B0FE0" w14:textId="774B19D8" w:rsidR="006F35D9" w:rsidRPr="00F55BDF" w:rsidRDefault="008267A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12</w:t>
            </w:r>
          </w:p>
        </w:tc>
        <w:tc>
          <w:tcPr>
            <w:tcW w:w="1134" w:type="dxa"/>
            <w:tcBorders>
              <w:top w:val="nil"/>
              <w:left w:val="nil"/>
              <w:bottom w:val="single" w:sz="4" w:space="0" w:color="auto"/>
              <w:right w:val="single" w:sz="4" w:space="0" w:color="auto"/>
            </w:tcBorders>
            <w:shd w:val="clear" w:color="auto" w:fill="auto"/>
            <w:vAlign w:val="center"/>
          </w:tcPr>
          <w:p w14:paraId="766CDD16" w14:textId="7965FAC7" w:rsidR="006F35D9" w:rsidRPr="00F55BDF" w:rsidRDefault="008267A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25</w:t>
            </w:r>
          </w:p>
        </w:tc>
        <w:tc>
          <w:tcPr>
            <w:tcW w:w="567" w:type="dxa"/>
            <w:tcBorders>
              <w:top w:val="single" w:sz="4" w:space="0" w:color="auto"/>
              <w:left w:val="nil"/>
              <w:bottom w:val="single" w:sz="4" w:space="0" w:color="auto"/>
              <w:right w:val="single" w:sz="4" w:space="0" w:color="auto"/>
            </w:tcBorders>
          </w:tcPr>
          <w:p w14:paraId="496A9798" w14:textId="686AEB89" w:rsidR="006F35D9" w:rsidRPr="00F55BDF" w:rsidRDefault="006F35D9"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66CC6" w14:textId="72013A82" w:rsidR="006F35D9" w:rsidRPr="00F55BDF" w:rsidRDefault="00156062" w:rsidP="008267A3">
            <w:pPr>
              <w:spacing w:after="0" w:line="240" w:lineRule="auto"/>
              <w:rPr>
                <w:rFonts w:eastAsia="Times New Roman" w:cstheme="minorHAnsi"/>
                <w:color w:val="000000"/>
                <w:sz w:val="20"/>
                <w:szCs w:val="20"/>
                <w:lang w:eastAsia="fr-FR"/>
              </w:rPr>
            </w:pPr>
            <w:proofErr w:type="gramStart"/>
            <w:r w:rsidRPr="00F55BDF">
              <w:rPr>
                <w:rFonts w:eastAsia="Times New Roman" w:cstheme="minorHAnsi"/>
                <w:color w:val="000000"/>
                <w:sz w:val="20"/>
                <w:szCs w:val="20"/>
                <w:lang w:eastAsia="fr-FR"/>
              </w:rPr>
              <w:t>les</w:t>
            </w:r>
            <w:proofErr w:type="gramEnd"/>
            <w:r w:rsidRPr="00F55BDF">
              <w:rPr>
                <w:rFonts w:eastAsia="Times New Roman" w:cstheme="minorHAnsi"/>
                <w:color w:val="000000"/>
                <w:sz w:val="20"/>
                <w:szCs w:val="20"/>
                <w:lang w:eastAsia="fr-FR"/>
              </w:rPr>
              <w:t xml:space="preserve"> 12 </w:t>
            </w:r>
            <w:proofErr w:type="spellStart"/>
            <w:r w:rsidRPr="00F55BDF">
              <w:rPr>
                <w:rFonts w:eastAsia="Times New Roman" w:cstheme="minorHAnsi"/>
                <w:color w:val="000000"/>
                <w:sz w:val="20"/>
                <w:szCs w:val="20"/>
                <w:lang w:eastAsia="fr-FR"/>
              </w:rPr>
              <w:t>fkt</w:t>
            </w:r>
            <w:proofErr w:type="spellEnd"/>
            <w:r w:rsidRPr="00F55BDF">
              <w:rPr>
                <w:rFonts w:eastAsia="Times New Roman" w:cstheme="minorHAnsi"/>
                <w:color w:val="000000"/>
                <w:sz w:val="20"/>
                <w:szCs w:val="20"/>
                <w:lang w:eastAsia="fr-FR"/>
              </w:rPr>
              <w:t xml:space="preserve"> initiaux sont remplacés par </w:t>
            </w:r>
            <w:r w:rsidR="008267A3" w:rsidRPr="00F55BDF">
              <w:rPr>
                <w:rFonts w:eastAsia="Times New Roman" w:cstheme="minorHAnsi"/>
                <w:color w:val="000000"/>
                <w:sz w:val="20"/>
                <w:szCs w:val="20"/>
                <w:lang w:eastAsia="fr-FR"/>
              </w:rPr>
              <w:t>les</w:t>
            </w:r>
            <w:r w:rsidRPr="00F55BDF">
              <w:rPr>
                <w:rFonts w:eastAsia="Times New Roman" w:cstheme="minorHAnsi"/>
                <w:color w:val="000000"/>
                <w:sz w:val="20"/>
                <w:szCs w:val="20"/>
                <w:lang w:eastAsia="fr-FR"/>
              </w:rPr>
              <w:t xml:space="preserve"> 25 </w:t>
            </w:r>
            <w:r w:rsidR="008267A3" w:rsidRPr="00F55BDF">
              <w:rPr>
                <w:rFonts w:eastAsia="Times New Roman" w:cstheme="minorHAnsi"/>
                <w:color w:val="000000"/>
                <w:sz w:val="20"/>
                <w:szCs w:val="20"/>
                <w:lang w:eastAsia="fr-FR"/>
              </w:rPr>
              <w:t>Fokontany</w:t>
            </w:r>
            <w:r w:rsidRPr="00F55BDF">
              <w:rPr>
                <w:rFonts w:eastAsia="Times New Roman" w:cstheme="minorHAnsi"/>
                <w:color w:val="000000"/>
                <w:sz w:val="20"/>
                <w:szCs w:val="20"/>
                <w:lang w:eastAsia="fr-FR"/>
              </w:rPr>
              <w:t xml:space="preserve"> concernés par la création des 07 APC)</w:t>
            </w:r>
          </w:p>
        </w:tc>
        <w:tc>
          <w:tcPr>
            <w:tcW w:w="1701" w:type="dxa"/>
            <w:tcBorders>
              <w:top w:val="single" w:sz="4" w:space="0" w:color="auto"/>
              <w:left w:val="nil"/>
              <w:bottom w:val="single" w:sz="4" w:space="0" w:color="auto"/>
              <w:right w:val="single" w:sz="4" w:space="0" w:color="auto"/>
            </w:tcBorders>
            <w:vAlign w:val="center"/>
          </w:tcPr>
          <w:p w14:paraId="31D7A5F5" w14:textId="4071C4F0" w:rsidR="006F35D9" w:rsidRPr="00F55BDF" w:rsidRDefault="008267A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Valeur 2019 : 25 Fokontany</w:t>
            </w:r>
          </w:p>
        </w:tc>
        <w:tc>
          <w:tcPr>
            <w:tcW w:w="1559" w:type="dxa"/>
            <w:tcBorders>
              <w:top w:val="nil"/>
              <w:left w:val="nil"/>
              <w:bottom w:val="single" w:sz="4" w:space="0" w:color="auto"/>
              <w:right w:val="single" w:sz="4" w:space="0" w:color="auto"/>
            </w:tcBorders>
            <w:shd w:val="clear" w:color="auto" w:fill="auto"/>
            <w:noWrap/>
            <w:vAlign w:val="center"/>
          </w:tcPr>
          <w:p w14:paraId="39067688"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Rapports activités de </w:t>
            </w:r>
            <w:proofErr w:type="spellStart"/>
            <w:r w:rsidRPr="00F55BDF">
              <w:rPr>
                <w:rFonts w:eastAsia="Times New Roman" w:cstheme="minorHAnsi"/>
                <w:color w:val="000000"/>
                <w:sz w:val="20"/>
                <w:szCs w:val="20"/>
                <w:lang w:eastAsia="fr-FR"/>
              </w:rPr>
              <w:t>Tany</w:t>
            </w:r>
            <w:proofErr w:type="spellEnd"/>
            <w:r w:rsidRPr="00F55BDF">
              <w:rPr>
                <w:rFonts w:eastAsia="Times New Roman" w:cstheme="minorHAnsi"/>
                <w:color w:val="000000"/>
                <w:sz w:val="20"/>
                <w:szCs w:val="20"/>
                <w:lang w:eastAsia="fr-FR"/>
              </w:rPr>
              <w:t xml:space="preserve"> </w:t>
            </w:r>
            <w:proofErr w:type="spellStart"/>
            <w:r w:rsidRPr="00F55BDF">
              <w:rPr>
                <w:rFonts w:eastAsia="Times New Roman" w:cstheme="minorHAnsi"/>
                <w:color w:val="000000"/>
                <w:sz w:val="20"/>
                <w:szCs w:val="20"/>
                <w:lang w:eastAsia="fr-FR"/>
              </w:rPr>
              <w:t>Meva</w:t>
            </w:r>
            <w:proofErr w:type="spellEnd"/>
            <w:r w:rsidRPr="00F55BDF">
              <w:rPr>
                <w:rFonts w:eastAsia="Times New Roman" w:cstheme="minorHAnsi"/>
                <w:color w:val="000000"/>
                <w:sz w:val="20"/>
                <w:szCs w:val="20"/>
                <w:lang w:eastAsia="fr-FR"/>
              </w:rPr>
              <w:t xml:space="preserve"> et SAGE</w:t>
            </w:r>
          </w:p>
        </w:tc>
        <w:tc>
          <w:tcPr>
            <w:tcW w:w="1560" w:type="dxa"/>
            <w:vMerge w:val="restart"/>
            <w:tcBorders>
              <w:top w:val="nil"/>
              <w:left w:val="nil"/>
              <w:right w:val="single" w:sz="4" w:space="0" w:color="auto"/>
            </w:tcBorders>
            <w:vAlign w:val="center"/>
          </w:tcPr>
          <w:p w14:paraId="47FE00AB"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périodiques du projet validés par des examens et des évaluations indépendantes</w:t>
            </w:r>
          </w:p>
        </w:tc>
      </w:tr>
      <w:tr w:rsidR="008267A3" w:rsidRPr="00F55BDF" w14:paraId="79C2F742" w14:textId="77777777" w:rsidTr="00A8365E">
        <w:trPr>
          <w:trHeight w:val="1062"/>
        </w:trPr>
        <w:tc>
          <w:tcPr>
            <w:tcW w:w="1838" w:type="dxa"/>
            <w:vMerge/>
            <w:tcBorders>
              <w:left w:val="single" w:sz="4" w:space="0" w:color="auto"/>
              <w:bottom w:val="single" w:sz="4" w:space="0" w:color="auto"/>
              <w:right w:val="single" w:sz="4" w:space="0" w:color="auto"/>
            </w:tcBorders>
            <w:shd w:val="clear" w:color="auto" w:fill="auto"/>
            <w:vAlign w:val="center"/>
          </w:tcPr>
          <w:p w14:paraId="3BC33634" w14:textId="77777777" w:rsidR="006F35D9" w:rsidRPr="00F55BDF" w:rsidRDefault="006F35D9" w:rsidP="008267A3">
            <w:pPr>
              <w:spacing w:after="0" w:line="240" w:lineRule="auto"/>
              <w:rPr>
                <w:rFonts w:eastAsia="Times New Roman" w:cstheme="minorHAnsi"/>
                <w:i/>
                <w:iCs/>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vAlign w:val="center"/>
          </w:tcPr>
          <w:p w14:paraId="4B032F66" w14:textId="70E6D8C5"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2 : </w:t>
            </w:r>
            <w:r w:rsidR="00E73198" w:rsidRPr="00F55BDF">
              <w:rPr>
                <w:rFonts w:eastAsia="Times New Roman" w:cstheme="minorHAnsi"/>
                <w:i/>
                <w:iCs/>
                <w:color w:val="000000"/>
                <w:sz w:val="20"/>
                <w:szCs w:val="20"/>
                <w:lang w:eastAsia="fr-FR"/>
              </w:rPr>
              <w:t xml:space="preserve">Nombre des populations dans ces fokontanys ayant bénéficié l'appui du projet </w:t>
            </w:r>
          </w:p>
        </w:tc>
        <w:tc>
          <w:tcPr>
            <w:tcW w:w="2268" w:type="dxa"/>
            <w:tcBorders>
              <w:top w:val="nil"/>
              <w:left w:val="nil"/>
              <w:bottom w:val="single" w:sz="4" w:space="0" w:color="auto"/>
              <w:right w:val="single" w:sz="4" w:space="0" w:color="auto"/>
            </w:tcBorders>
            <w:shd w:val="clear" w:color="auto" w:fill="auto"/>
            <w:noWrap/>
            <w:vAlign w:val="center"/>
          </w:tcPr>
          <w:p w14:paraId="543E32F8" w14:textId="77777777" w:rsidR="006F35D9" w:rsidRPr="00F55BDF" w:rsidRDefault="006F35D9"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0 </w:t>
            </w:r>
          </w:p>
        </w:tc>
        <w:tc>
          <w:tcPr>
            <w:tcW w:w="709" w:type="dxa"/>
            <w:tcBorders>
              <w:top w:val="nil"/>
              <w:left w:val="nil"/>
              <w:bottom w:val="single" w:sz="4" w:space="0" w:color="auto"/>
              <w:right w:val="single" w:sz="4" w:space="0" w:color="auto"/>
            </w:tcBorders>
            <w:shd w:val="clear" w:color="auto" w:fill="auto"/>
            <w:vAlign w:val="center"/>
          </w:tcPr>
          <w:p w14:paraId="713648E7"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4A97CCF0"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À déterminer</w:t>
            </w:r>
          </w:p>
        </w:tc>
        <w:tc>
          <w:tcPr>
            <w:tcW w:w="1134" w:type="dxa"/>
            <w:tcBorders>
              <w:top w:val="nil"/>
              <w:left w:val="nil"/>
              <w:bottom w:val="single" w:sz="4" w:space="0" w:color="auto"/>
              <w:right w:val="single" w:sz="4" w:space="0" w:color="auto"/>
            </w:tcBorders>
            <w:shd w:val="clear" w:color="auto" w:fill="auto"/>
            <w:vAlign w:val="center"/>
          </w:tcPr>
          <w:p w14:paraId="3C9DF951"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567" w:type="dxa"/>
            <w:tcBorders>
              <w:top w:val="single" w:sz="4" w:space="0" w:color="auto"/>
              <w:left w:val="nil"/>
              <w:bottom w:val="single" w:sz="4" w:space="0" w:color="auto"/>
              <w:right w:val="single" w:sz="4" w:space="0" w:color="auto"/>
            </w:tcBorders>
          </w:tcPr>
          <w:p w14:paraId="13726202"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6E1B66" w14:textId="77777777" w:rsidR="006F35D9" w:rsidRPr="00F55BDF" w:rsidRDefault="00630D35"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27</w:t>
            </w:r>
            <w:r w:rsidR="008267A3" w:rsidRPr="00F55BDF">
              <w:rPr>
                <w:rFonts w:eastAsia="Times New Roman" w:cstheme="minorHAnsi"/>
                <w:color w:val="000000"/>
                <w:sz w:val="20"/>
                <w:szCs w:val="20"/>
                <w:lang w:eastAsia="fr-FR"/>
              </w:rPr>
              <w:t> </w:t>
            </w:r>
            <w:r w:rsidRPr="00F55BDF">
              <w:rPr>
                <w:rFonts w:eastAsia="Times New Roman" w:cstheme="minorHAnsi"/>
                <w:color w:val="000000"/>
                <w:sz w:val="20"/>
                <w:szCs w:val="20"/>
                <w:lang w:eastAsia="fr-FR"/>
              </w:rPr>
              <w:t>500</w:t>
            </w:r>
            <w:r w:rsidR="008267A3" w:rsidRPr="00F55BDF">
              <w:rPr>
                <w:rFonts w:eastAsia="Times New Roman" w:cstheme="minorHAnsi"/>
                <w:color w:val="000000"/>
                <w:sz w:val="20"/>
                <w:szCs w:val="20"/>
                <w:lang w:eastAsia="fr-FR"/>
              </w:rPr>
              <w:t xml:space="preserve">  </w:t>
            </w:r>
          </w:p>
          <w:p w14:paraId="2626A871" w14:textId="26FAB9F1" w:rsidR="008267A3" w:rsidRPr="00F55BDF" w:rsidRDefault="008267A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 (Observation : le nombre des populations ayant bénéficié de l’appui du projet ne concerne que les </w:t>
            </w:r>
            <w:r w:rsidRPr="00F55BDF">
              <w:rPr>
                <w:rFonts w:eastAsia="Times New Roman" w:cstheme="minorHAnsi"/>
                <w:color w:val="000000"/>
                <w:sz w:val="20"/>
                <w:szCs w:val="20"/>
                <w:lang w:eastAsia="fr-FR"/>
              </w:rPr>
              <w:lastRenderedPageBreak/>
              <w:t>Personnes Affectées par le Projets (PAP) de création des 07 APC, mais non pas le nombre total des populations vivant dans les 25 Fokontany.)</w:t>
            </w:r>
          </w:p>
        </w:tc>
        <w:tc>
          <w:tcPr>
            <w:tcW w:w="1701" w:type="dxa"/>
            <w:tcBorders>
              <w:top w:val="single" w:sz="4" w:space="0" w:color="auto"/>
              <w:left w:val="nil"/>
              <w:bottom w:val="single" w:sz="4" w:space="0" w:color="auto"/>
              <w:right w:val="single" w:sz="4" w:space="0" w:color="auto"/>
            </w:tcBorders>
            <w:vAlign w:val="center"/>
          </w:tcPr>
          <w:p w14:paraId="3418B5FE" w14:textId="7FDA989D" w:rsidR="006F35D9" w:rsidRPr="00F55BDF" w:rsidRDefault="008267A3"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lastRenderedPageBreak/>
              <w:t xml:space="preserve">Valeur 2019 : </w:t>
            </w:r>
          </w:p>
        </w:tc>
        <w:tc>
          <w:tcPr>
            <w:tcW w:w="1559" w:type="dxa"/>
            <w:tcBorders>
              <w:top w:val="nil"/>
              <w:left w:val="nil"/>
              <w:bottom w:val="single" w:sz="4" w:space="0" w:color="auto"/>
              <w:right w:val="single" w:sz="4" w:space="0" w:color="auto"/>
            </w:tcBorders>
            <w:shd w:val="clear" w:color="auto" w:fill="auto"/>
            <w:noWrap/>
            <w:vAlign w:val="center"/>
          </w:tcPr>
          <w:p w14:paraId="330A9AEE" w14:textId="08215FD7" w:rsidR="006F35D9" w:rsidRPr="00F55BDF" w:rsidRDefault="00156062"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-Document Plan de Gestion Environnementale et de Sauvegarde Sociale (PGESS) de chaque APC (07) Disponible </w:t>
            </w:r>
            <w:r w:rsidRPr="00F55BDF">
              <w:rPr>
                <w:rFonts w:eastAsia="Times New Roman" w:cstheme="minorHAnsi"/>
                <w:color w:val="000000"/>
                <w:sz w:val="20"/>
                <w:szCs w:val="20"/>
                <w:lang w:eastAsia="fr-FR"/>
              </w:rPr>
              <w:lastRenderedPageBreak/>
              <w:t>en juin 2020</w:t>
            </w:r>
            <w:r w:rsidR="008267A3" w:rsidRPr="00F55BDF">
              <w:rPr>
                <w:rFonts w:eastAsia="Times New Roman" w:cstheme="minorHAnsi"/>
                <w:color w:val="000000"/>
                <w:sz w:val="20"/>
                <w:szCs w:val="20"/>
                <w:lang w:eastAsia="fr-FR"/>
              </w:rPr>
              <w:t xml:space="preserve"> qui détermine le nombre des PAP</w:t>
            </w:r>
            <w:r w:rsidRPr="00F55BDF">
              <w:rPr>
                <w:rFonts w:eastAsia="Times New Roman" w:cstheme="minorHAnsi"/>
                <w:color w:val="000000"/>
                <w:sz w:val="20"/>
                <w:szCs w:val="20"/>
                <w:lang w:eastAsia="fr-FR"/>
              </w:rPr>
              <w:t xml:space="preserve">. </w:t>
            </w:r>
          </w:p>
        </w:tc>
        <w:tc>
          <w:tcPr>
            <w:tcW w:w="1560" w:type="dxa"/>
            <w:vMerge/>
            <w:tcBorders>
              <w:left w:val="nil"/>
              <w:bottom w:val="single" w:sz="4" w:space="0" w:color="auto"/>
              <w:right w:val="single" w:sz="4" w:space="0" w:color="auto"/>
            </w:tcBorders>
            <w:vAlign w:val="center"/>
          </w:tcPr>
          <w:p w14:paraId="38E66524" w14:textId="77777777" w:rsidR="006F35D9" w:rsidRPr="00F55BDF" w:rsidRDefault="006F35D9" w:rsidP="008267A3">
            <w:pPr>
              <w:spacing w:after="0" w:line="240" w:lineRule="auto"/>
              <w:rPr>
                <w:rFonts w:eastAsia="Times New Roman" w:cstheme="minorHAnsi"/>
                <w:color w:val="000000"/>
                <w:sz w:val="20"/>
                <w:szCs w:val="20"/>
                <w:lang w:eastAsia="fr-FR"/>
              </w:rPr>
            </w:pPr>
          </w:p>
        </w:tc>
      </w:tr>
      <w:tr w:rsidR="0034155E" w:rsidRPr="00F55BDF" w14:paraId="471E662A" w14:textId="77777777" w:rsidTr="00A8365E">
        <w:trPr>
          <w:trHeight w:val="1062"/>
        </w:trPr>
        <w:tc>
          <w:tcPr>
            <w:tcW w:w="1838" w:type="dxa"/>
            <w:tcBorders>
              <w:left w:val="single" w:sz="4" w:space="0" w:color="auto"/>
              <w:bottom w:val="single" w:sz="4" w:space="0" w:color="auto"/>
              <w:right w:val="single" w:sz="4" w:space="0" w:color="auto"/>
            </w:tcBorders>
            <w:shd w:val="clear" w:color="auto" w:fill="auto"/>
            <w:vAlign w:val="center"/>
          </w:tcPr>
          <w:p w14:paraId="16E11A6E" w14:textId="77777777" w:rsidR="0034155E" w:rsidRPr="00F55BDF" w:rsidRDefault="0034155E" w:rsidP="008267A3">
            <w:pPr>
              <w:spacing w:after="0" w:line="240" w:lineRule="auto"/>
              <w:rPr>
                <w:rFonts w:eastAsia="Times New Roman" w:cstheme="minorHAnsi"/>
                <w:i/>
                <w:iCs/>
                <w:color w:val="000000"/>
                <w:sz w:val="20"/>
                <w:szCs w:val="20"/>
                <w:lang w:eastAsia="fr-FR"/>
              </w:rPr>
            </w:pPr>
          </w:p>
        </w:tc>
        <w:tc>
          <w:tcPr>
            <w:tcW w:w="2410" w:type="dxa"/>
            <w:tcBorders>
              <w:top w:val="nil"/>
              <w:left w:val="nil"/>
              <w:bottom w:val="single" w:sz="4" w:space="0" w:color="auto"/>
              <w:right w:val="single" w:sz="4" w:space="0" w:color="auto"/>
            </w:tcBorders>
            <w:shd w:val="clear" w:color="auto" w:fill="auto"/>
            <w:vAlign w:val="center"/>
          </w:tcPr>
          <w:p w14:paraId="54BF9A05" w14:textId="40B8D3A2" w:rsidR="0034155E" w:rsidRPr="00F55BDF" w:rsidRDefault="0034155E"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3 </w:t>
            </w:r>
            <w:proofErr w:type="gramStart"/>
            <w:r w:rsidRPr="00F55BDF">
              <w:rPr>
                <w:rFonts w:eastAsia="Times New Roman" w:cstheme="minorHAnsi"/>
                <w:i/>
                <w:iCs/>
                <w:color w:val="000000"/>
                <w:sz w:val="20"/>
                <w:szCs w:val="20"/>
                <w:lang w:eastAsia="fr-FR"/>
              </w:rPr>
              <w:t>:  (</w:t>
            </w:r>
            <w:proofErr w:type="gramEnd"/>
            <w:r w:rsidRPr="00F55BDF">
              <w:rPr>
                <w:rFonts w:eastAsia="Times New Roman" w:cstheme="minorHAnsi"/>
                <w:i/>
                <w:iCs/>
                <w:color w:val="000000"/>
                <w:sz w:val="20"/>
                <w:szCs w:val="20"/>
                <w:lang w:eastAsia="fr-FR"/>
              </w:rPr>
              <w:t>c) Nombre d'emplois verts créés pour les populations vulnérables</w:t>
            </w:r>
          </w:p>
        </w:tc>
        <w:tc>
          <w:tcPr>
            <w:tcW w:w="2268" w:type="dxa"/>
            <w:tcBorders>
              <w:top w:val="nil"/>
              <w:left w:val="nil"/>
              <w:bottom w:val="single" w:sz="4" w:space="0" w:color="auto"/>
              <w:right w:val="single" w:sz="4" w:space="0" w:color="auto"/>
            </w:tcBorders>
            <w:shd w:val="clear" w:color="auto" w:fill="auto"/>
            <w:noWrap/>
            <w:vAlign w:val="center"/>
          </w:tcPr>
          <w:p w14:paraId="55848429" w14:textId="0D9BC79E" w:rsidR="0034155E" w:rsidRPr="00F55BDF" w:rsidRDefault="0034155E"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0</w:t>
            </w:r>
          </w:p>
        </w:tc>
        <w:tc>
          <w:tcPr>
            <w:tcW w:w="709" w:type="dxa"/>
            <w:tcBorders>
              <w:top w:val="nil"/>
              <w:left w:val="nil"/>
              <w:bottom w:val="single" w:sz="4" w:space="0" w:color="auto"/>
              <w:right w:val="single" w:sz="4" w:space="0" w:color="auto"/>
            </w:tcBorders>
            <w:shd w:val="clear" w:color="auto" w:fill="auto"/>
            <w:vAlign w:val="center"/>
          </w:tcPr>
          <w:p w14:paraId="57CF0AA2" w14:textId="77777777" w:rsidR="0034155E" w:rsidRPr="00F55BDF" w:rsidRDefault="0034155E" w:rsidP="008267A3">
            <w:pPr>
              <w:spacing w:after="0" w:line="240" w:lineRule="auto"/>
              <w:rPr>
                <w:rFonts w:eastAsia="Times New Roman" w:cstheme="minorHAnsi"/>
                <w:color w:val="000000"/>
                <w:sz w:val="20"/>
                <w:szCs w:val="20"/>
                <w:lang w:eastAsia="fr-FR"/>
              </w:rPr>
            </w:pPr>
          </w:p>
        </w:tc>
        <w:tc>
          <w:tcPr>
            <w:tcW w:w="992" w:type="dxa"/>
            <w:gridSpan w:val="2"/>
            <w:tcBorders>
              <w:top w:val="nil"/>
              <w:left w:val="nil"/>
              <w:bottom w:val="single" w:sz="4" w:space="0" w:color="auto"/>
              <w:right w:val="single" w:sz="4" w:space="0" w:color="auto"/>
            </w:tcBorders>
            <w:shd w:val="clear" w:color="auto" w:fill="auto"/>
            <w:vAlign w:val="center"/>
          </w:tcPr>
          <w:p w14:paraId="3CD7DEB7" w14:textId="4583F655" w:rsidR="0034155E" w:rsidRPr="00F55BDF" w:rsidRDefault="00341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 (identification, formation)</w:t>
            </w:r>
          </w:p>
        </w:tc>
        <w:tc>
          <w:tcPr>
            <w:tcW w:w="1134" w:type="dxa"/>
            <w:tcBorders>
              <w:top w:val="nil"/>
              <w:left w:val="nil"/>
              <w:bottom w:val="single" w:sz="4" w:space="0" w:color="auto"/>
              <w:right w:val="single" w:sz="4" w:space="0" w:color="auto"/>
            </w:tcBorders>
            <w:shd w:val="clear" w:color="auto" w:fill="auto"/>
            <w:vAlign w:val="center"/>
          </w:tcPr>
          <w:p w14:paraId="4087E19B" w14:textId="1B6FA7AB" w:rsidR="0034155E" w:rsidRPr="00F55BDF" w:rsidRDefault="00341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24 </w:t>
            </w:r>
          </w:p>
        </w:tc>
        <w:tc>
          <w:tcPr>
            <w:tcW w:w="567" w:type="dxa"/>
            <w:tcBorders>
              <w:top w:val="single" w:sz="4" w:space="0" w:color="auto"/>
              <w:left w:val="nil"/>
              <w:bottom w:val="single" w:sz="4" w:space="0" w:color="auto"/>
              <w:right w:val="single" w:sz="4" w:space="0" w:color="auto"/>
            </w:tcBorders>
          </w:tcPr>
          <w:p w14:paraId="37E6C9F5" w14:textId="77777777" w:rsidR="0034155E" w:rsidRPr="00F55BDF" w:rsidRDefault="0034155E"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DE7CE5" w14:textId="40218CF6" w:rsidR="0034155E" w:rsidRPr="00F55BDF" w:rsidRDefault="00341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3260 </w:t>
            </w:r>
          </w:p>
        </w:tc>
        <w:tc>
          <w:tcPr>
            <w:tcW w:w="1701" w:type="dxa"/>
            <w:tcBorders>
              <w:top w:val="single" w:sz="4" w:space="0" w:color="auto"/>
              <w:left w:val="nil"/>
              <w:bottom w:val="single" w:sz="4" w:space="0" w:color="auto"/>
              <w:right w:val="single" w:sz="4" w:space="0" w:color="auto"/>
            </w:tcBorders>
            <w:vAlign w:val="center"/>
          </w:tcPr>
          <w:p w14:paraId="116A1C36" w14:textId="729F6B7E" w:rsidR="0034155E" w:rsidRPr="00F55BDF" w:rsidRDefault="00341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Valeur 2019 : 24 emplois verts créés. Les 2 et 3 années (2018 – 2019) sont axées sur l’identification des AGR, la formation et l’équipement. </w:t>
            </w:r>
          </w:p>
        </w:tc>
        <w:tc>
          <w:tcPr>
            <w:tcW w:w="1559" w:type="dxa"/>
            <w:tcBorders>
              <w:top w:val="nil"/>
              <w:left w:val="nil"/>
              <w:bottom w:val="single" w:sz="4" w:space="0" w:color="auto"/>
              <w:right w:val="single" w:sz="4" w:space="0" w:color="auto"/>
            </w:tcBorders>
            <w:shd w:val="clear" w:color="auto" w:fill="auto"/>
            <w:noWrap/>
            <w:vAlign w:val="center"/>
          </w:tcPr>
          <w:p w14:paraId="4CB688E6" w14:textId="78C2F593" w:rsidR="0034155E" w:rsidRPr="00F55BDF" w:rsidRDefault="0034155E" w:rsidP="0034155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-Revue annuelle</w:t>
            </w:r>
          </w:p>
          <w:p w14:paraId="2EC8EDE1" w14:textId="4567A04F" w:rsidR="0034155E" w:rsidRPr="00F55BDF" w:rsidRDefault="0034155E" w:rsidP="0034155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-Evaluation indépendante (planifiée dans le Plan d suivi pour fin 2020)</w:t>
            </w:r>
          </w:p>
        </w:tc>
        <w:tc>
          <w:tcPr>
            <w:tcW w:w="1560" w:type="dxa"/>
            <w:tcBorders>
              <w:left w:val="nil"/>
              <w:bottom w:val="single" w:sz="4" w:space="0" w:color="auto"/>
              <w:right w:val="single" w:sz="4" w:space="0" w:color="auto"/>
            </w:tcBorders>
            <w:vAlign w:val="center"/>
          </w:tcPr>
          <w:p w14:paraId="6D5A954C" w14:textId="512CDEE9" w:rsidR="0034155E" w:rsidRPr="00F55BDF" w:rsidRDefault="0034155E"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périodiques de projet validés par des examens et des évaluations indépendantes</w:t>
            </w:r>
          </w:p>
        </w:tc>
      </w:tr>
      <w:tr w:rsidR="008267A3" w:rsidRPr="00F55BDF" w14:paraId="1A7247CC" w14:textId="77777777" w:rsidTr="00A8365E">
        <w:trPr>
          <w:trHeight w:val="51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8F5E" w14:textId="77777777"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Effet 4 : Les scores SO2 TT de la partie IV concernant les “cadres politiques et réglementaires” concernant les questions sur l’”agriculture” et l’”exploitation minière”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94CF4AC" w14:textId="77777777"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1 : Nombre de points au total sur le nombre de points possible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8533711"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i/>
                <w:iCs/>
                <w:color w:val="000000"/>
                <w:sz w:val="20"/>
                <w:szCs w:val="20"/>
                <w:lang w:eastAsia="fr-FR"/>
              </w:rPr>
              <w:t>12 sur 24</w:t>
            </w:r>
          </w:p>
        </w:tc>
        <w:tc>
          <w:tcPr>
            <w:tcW w:w="709" w:type="dxa"/>
            <w:tcBorders>
              <w:top w:val="single" w:sz="4" w:space="0" w:color="auto"/>
              <w:left w:val="nil"/>
              <w:bottom w:val="single" w:sz="4" w:space="0" w:color="auto"/>
              <w:right w:val="single" w:sz="4" w:space="0" w:color="auto"/>
            </w:tcBorders>
            <w:shd w:val="clear" w:color="auto" w:fill="auto"/>
            <w:vAlign w:val="center"/>
          </w:tcPr>
          <w:p w14:paraId="7B742CB6"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2E44265" w14:textId="6FBC1E82"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1</w:t>
            </w:r>
            <w:r w:rsidR="006C36B5" w:rsidRPr="00F55BDF">
              <w:rPr>
                <w:rFonts w:eastAsia="Times New Roman" w:cstheme="minorHAnsi"/>
                <w:color w:val="000000"/>
                <w:sz w:val="20"/>
                <w:szCs w:val="20"/>
                <w:lang w:eastAsia="fr-FR"/>
              </w:rPr>
              <w:t>3</w:t>
            </w:r>
            <w:r w:rsidRPr="00F55BDF">
              <w:rPr>
                <w:rFonts w:eastAsia="Times New Roman" w:cstheme="minorHAnsi"/>
                <w:color w:val="000000"/>
                <w:sz w:val="20"/>
                <w:szCs w:val="20"/>
                <w:lang w:eastAsia="fr-FR"/>
              </w:rPr>
              <w:t xml:space="preserve"> sur 24 (pour 7 AP)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D3F554" w14:textId="4194278F" w:rsidR="006F35D9" w:rsidRPr="00F55BDF" w:rsidRDefault="00781D71"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13 sur 24 (pour 10 AP)</w:t>
            </w:r>
          </w:p>
        </w:tc>
        <w:tc>
          <w:tcPr>
            <w:tcW w:w="567" w:type="dxa"/>
            <w:tcBorders>
              <w:top w:val="single" w:sz="4" w:space="0" w:color="auto"/>
              <w:left w:val="nil"/>
              <w:bottom w:val="single" w:sz="4" w:space="0" w:color="auto"/>
              <w:right w:val="single" w:sz="4" w:space="0" w:color="auto"/>
            </w:tcBorders>
          </w:tcPr>
          <w:p w14:paraId="53779325"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54E78E"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15 sur 24</w:t>
            </w:r>
          </w:p>
        </w:tc>
        <w:tc>
          <w:tcPr>
            <w:tcW w:w="1701" w:type="dxa"/>
            <w:tcBorders>
              <w:top w:val="single" w:sz="4" w:space="0" w:color="auto"/>
              <w:left w:val="nil"/>
              <w:bottom w:val="single" w:sz="4" w:space="0" w:color="auto"/>
              <w:right w:val="single" w:sz="4" w:space="0" w:color="auto"/>
            </w:tcBorders>
            <w:vAlign w:val="center"/>
          </w:tcPr>
          <w:p w14:paraId="4DF4E721" w14:textId="77777777" w:rsidR="00006439" w:rsidRPr="00F55BDF" w:rsidRDefault="0000643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Valeur 2019 : </w:t>
            </w:r>
          </w:p>
          <w:p w14:paraId="2D4408C1" w14:textId="72E164C9" w:rsidR="006F35D9" w:rsidRPr="00F55BDF" w:rsidRDefault="0000643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13/24, pour les 10 AP (</w:t>
            </w:r>
            <w:r w:rsidR="006F35D9" w:rsidRPr="00F55BDF">
              <w:rPr>
                <w:rFonts w:eastAsia="Times New Roman" w:cstheme="minorHAnsi"/>
                <w:color w:val="000000"/>
                <w:sz w:val="20"/>
                <w:szCs w:val="20"/>
                <w:lang w:eastAsia="fr-FR"/>
              </w:rPr>
              <w:t>METT</w:t>
            </w:r>
            <w:r w:rsidRPr="00F55BDF">
              <w:rPr>
                <w:rFonts w:eastAsia="Times New Roman" w:cstheme="minorHAnsi"/>
                <w:color w:val="000000"/>
                <w:sz w:val="20"/>
                <w:szCs w:val="20"/>
                <w:lang w:eastAsia="fr-FR"/>
              </w:rPr>
              <w:t>)</w:t>
            </w:r>
            <w:r w:rsidR="006F35D9" w:rsidRPr="00F55BDF">
              <w:rPr>
                <w:rFonts w:eastAsia="Times New Roman" w:cstheme="minorHAnsi"/>
                <w:color w:val="000000"/>
                <w:sz w:val="20"/>
                <w:szCs w:val="20"/>
                <w:lang w:eastAsia="fr-FR"/>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B2A3FF"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w:t>
            </w:r>
            <w:r w:rsidR="008F5792" w:rsidRPr="00F55BDF">
              <w:rPr>
                <w:rFonts w:eastAsia="Times New Roman" w:cstheme="minorHAnsi"/>
                <w:color w:val="000000"/>
                <w:sz w:val="20"/>
                <w:szCs w:val="20"/>
                <w:lang w:eastAsia="fr-FR"/>
              </w:rPr>
              <w:t xml:space="preserve">Rapport d’analyse des scores METT des 10 AP. </w:t>
            </w:r>
          </w:p>
          <w:p w14:paraId="2610A99C" w14:textId="28D76E05" w:rsidR="008F5792" w:rsidRPr="00F55BDF" w:rsidRDefault="008F5792"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Observation : pour les 07 APC, il faudrait attendre la sortie du statut temporaire. Ainsi les cors METT ne sont disponibles pour les 07 APC qu’à partir de juillet 2020.</w:t>
            </w:r>
          </w:p>
        </w:tc>
        <w:tc>
          <w:tcPr>
            <w:tcW w:w="1560" w:type="dxa"/>
            <w:vMerge w:val="restart"/>
            <w:tcBorders>
              <w:top w:val="single" w:sz="4" w:space="0" w:color="auto"/>
              <w:left w:val="nil"/>
              <w:right w:val="single" w:sz="4" w:space="0" w:color="auto"/>
            </w:tcBorders>
            <w:vAlign w:val="center"/>
          </w:tcPr>
          <w:p w14:paraId="684782D0"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Mise en œuvre périodique de la zone focale TT validée par des évaluations et examens indépendants</w:t>
            </w:r>
          </w:p>
        </w:tc>
      </w:tr>
      <w:tr w:rsidR="008267A3" w:rsidRPr="00F55BDF" w14:paraId="6299CDB3" w14:textId="77777777" w:rsidTr="00A8365E">
        <w:trPr>
          <w:trHeight w:val="140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D39159B" w14:textId="7F34A891"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lastRenderedPageBreak/>
              <w:t xml:space="preserve">Effet 5 : </w:t>
            </w:r>
            <w:r w:rsidR="00120C64" w:rsidRPr="00F55BDF">
              <w:rPr>
                <w:rFonts w:eastAsia="Times New Roman" w:cstheme="minorHAnsi"/>
                <w:i/>
                <w:iCs/>
                <w:color w:val="000000"/>
                <w:sz w:val="20"/>
                <w:szCs w:val="20"/>
                <w:lang w:eastAsia="fr-FR"/>
              </w:rPr>
              <w:t xml:space="preserve">Gestion des AP </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FEB381" w14:textId="77777777" w:rsidR="006F35D9" w:rsidRPr="00F55BDF" w:rsidRDefault="006F35D9" w:rsidP="008267A3">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Total des scores faibles (&lt; 2) pour les « 30 questions clefs METT » concernant la gestion des AP pour les 4 AP évalués</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3390753" w14:textId="77777777" w:rsidR="006F35D9" w:rsidRPr="00F55BDF" w:rsidRDefault="006F35D9" w:rsidP="008267A3">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Total = 19</w:t>
            </w:r>
          </w:p>
        </w:tc>
        <w:tc>
          <w:tcPr>
            <w:tcW w:w="709" w:type="dxa"/>
            <w:tcBorders>
              <w:top w:val="single" w:sz="4" w:space="0" w:color="auto"/>
              <w:left w:val="nil"/>
              <w:bottom w:val="single" w:sz="4" w:space="0" w:color="auto"/>
              <w:right w:val="single" w:sz="4" w:space="0" w:color="auto"/>
            </w:tcBorders>
            <w:shd w:val="clear" w:color="auto" w:fill="auto"/>
            <w:vAlign w:val="center"/>
          </w:tcPr>
          <w:p w14:paraId="5DDABC1E"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8872E6" w14:textId="0C039E36" w:rsidR="006F35D9" w:rsidRPr="00F55BDF" w:rsidRDefault="00781D71"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18 (pour les 4 AP initiales)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ACCDAE" w14:textId="4436EB0A" w:rsidR="006F35D9" w:rsidRPr="00F55BDF" w:rsidRDefault="00781D71"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w:t>
            </w:r>
            <w:r w:rsidR="006C36B5" w:rsidRPr="00F55BDF">
              <w:rPr>
                <w:rFonts w:eastAsia="Times New Roman" w:cstheme="minorHAnsi"/>
                <w:color w:val="000000"/>
                <w:sz w:val="20"/>
                <w:szCs w:val="20"/>
                <w:lang w:eastAsia="fr-FR"/>
              </w:rPr>
              <w:t>0</w:t>
            </w:r>
            <w:r w:rsidRPr="00F55BDF">
              <w:rPr>
                <w:rFonts w:eastAsia="Times New Roman" w:cstheme="minorHAnsi"/>
                <w:color w:val="000000"/>
                <w:sz w:val="20"/>
                <w:szCs w:val="20"/>
                <w:lang w:eastAsia="fr-FR"/>
              </w:rPr>
              <w:t xml:space="preserve"> </w:t>
            </w:r>
          </w:p>
        </w:tc>
        <w:tc>
          <w:tcPr>
            <w:tcW w:w="567" w:type="dxa"/>
            <w:tcBorders>
              <w:top w:val="single" w:sz="4" w:space="0" w:color="auto"/>
              <w:left w:val="nil"/>
              <w:bottom w:val="single" w:sz="4" w:space="0" w:color="auto"/>
              <w:right w:val="single" w:sz="4" w:space="0" w:color="auto"/>
            </w:tcBorders>
          </w:tcPr>
          <w:p w14:paraId="165B43E3" w14:textId="77777777" w:rsidR="006F35D9" w:rsidRPr="00F55BDF" w:rsidRDefault="006F35D9" w:rsidP="008267A3">
            <w:pPr>
              <w:spacing w:after="0" w:line="240" w:lineRule="auto"/>
              <w:rPr>
                <w:rFonts w:eastAsia="Times New Roman" w:cstheme="minorHAnsi"/>
                <w:color w:val="00000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480D5E" w14:textId="77777777" w:rsidR="006F35D9" w:rsidRPr="00F55BDF" w:rsidRDefault="006F35D9"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Total des scores pour les mêmes questions = au moins 24</w:t>
            </w:r>
          </w:p>
        </w:tc>
        <w:tc>
          <w:tcPr>
            <w:tcW w:w="1701" w:type="dxa"/>
            <w:tcBorders>
              <w:top w:val="single" w:sz="4" w:space="0" w:color="auto"/>
              <w:left w:val="nil"/>
              <w:bottom w:val="single" w:sz="4" w:space="0" w:color="auto"/>
              <w:right w:val="single" w:sz="4" w:space="0" w:color="auto"/>
            </w:tcBorders>
          </w:tcPr>
          <w:p w14:paraId="5535A7F0" w14:textId="004E29F4" w:rsidR="006F35D9" w:rsidRPr="00F55BDF" w:rsidRDefault="00781D71" w:rsidP="008267A3">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09 AP évaluées en 2019 : 2</w:t>
            </w:r>
            <w:r w:rsidR="006C36B5" w:rsidRPr="00F55BDF">
              <w:rPr>
                <w:rFonts w:eastAsia="Times New Roman" w:cstheme="minorHAnsi"/>
                <w:color w:val="000000"/>
                <w:sz w:val="20"/>
                <w:szCs w:val="20"/>
                <w:lang w:eastAsia="fr-FR"/>
              </w:rPr>
              <w:t>0</w:t>
            </w:r>
            <w:r w:rsidRPr="00F55BDF">
              <w:rPr>
                <w:rFonts w:eastAsia="Times New Roman" w:cstheme="minorHAnsi"/>
                <w:color w:val="000000"/>
                <w:sz w:val="20"/>
                <w:szCs w:val="20"/>
                <w:lang w:eastAsia="fr-FR"/>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788565" w14:textId="77777777" w:rsidR="006F35D9" w:rsidRPr="00F55BDF" w:rsidRDefault="006F35D9" w:rsidP="008267A3">
            <w:pPr>
              <w:spacing w:after="0" w:line="240" w:lineRule="auto"/>
              <w:jc w:val="center"/>
              <w:rPr>
                <w:rFonts w:eastAsia="Times New Roman" w:cstheme="minorHAnsi"/>
                <w:color w:val="000000"/>
                <w:sz w:val="20"/>
                <w:szCs w:val="20"/>
                <w:lang w:eastAsia="fr-FR"/>
              </w:rPr>
            </w:pPr>
          </w:p>
        </w:tc>
        <w:tc>
          <w:tcPr>
            <w:tcW w:w="1560" w:type="dxa"/>
            <w:vMerge/>
            <w:tcBorders>
              <w:left w:val="nil"/>
              <w:bottom w:val="single" w:sz="4" w:space="0" w:color="auto"/>
              <w:right w:val="single" w:sz="4" w:space="0" w:color="auto"/>
            </w:tcBorders>
          </w:tcPr>
          <w:p w14:paraId="58A23A0C" w14:textId="77777777" w:rsidR="006F35D9" w:rsidRPr="00F55BDF" w:rsidRDefault="006F35D9" w:rsidP="008267A3">
            <w:pPr>
              <w:spacing w:after="0" w:line="240" w:lineRule="auto"/>
              <w:jc w:val="center"/>
              <w:rPr>
                <w:rFonts w:eastAsia="Times New Roman" w:cstheme="minorHAnsi"/>
                <w:color w:val="000000"/>
                <w:lang w:eastAsia="fr-FR"/>
              </w:rPr>
            </w:pPr>
          </w:p>
        </w:tc>
      </w:tr>
    </w:tbl>
    <w:p w14:paraId="1431083A" w14:textId="239442C2" w:rsidR="00056893" w:rsidRPr="00F55BDF" w:rsidRDefault="00630D35" w:rsidP="00056893">
      <w:pPr>
        <w:pStyle w:val="ListParagraph"/>
        <w:rPr>
          <w:b/>
          <w:i/>
          <w:sz w:val="24"/>
          <w:u w:val="single"/>
          <w:lang w:val="fr-FR"/>
        </w:rPr>
      </w:pPr>
      <w:r w:rsidRPr="00F55BDF">
        <w:rPr>
          <w:rFonts w:eastAsia="Times New Roman" w:cstheme="minorHAnsi"/>
          <w:i/>
          <w:iCs/>
          <w:color w:val="000000"/>
          <w:lang w:val="fr-FR" w:eastAsia="fr-FR"/>
        </w:rPr>
        <w:br w:type="textWrapping" w:clear="all"/>
      </w:r>
      <w:r w:rsidR="00BD7CE2" w:rsidRPr="00F55BDF">
        <w:rPr>
          <w:b/>
          <w:i/>
          <w:sz w:val="24"/>
          <w:u w:val="single"/>
          <w:lang w:val="fr-FR"/>
        </w:rPr>
        <w:t xml:space="preserve">Indicateurs du PTA </w:t>
      </w:r>
    </w:p>
    <w:tbl>
      <w:tblPr>
        <w:tblW w:w="5448" w:type="pct"/>
        <w:tblInd w:w="-1139" w:type="dxa"/>
        <w:tblLayout w:type="fixed"/>
        <w:tblCellMar>
          <w:left w:w="70" w:type="dxa"/>
          <w:right w:w="70" w:type="dxa"/>
        </w:tblCellMar>
        <w:tblLook w:val="04A0" w:firstRow="1" w:lastRow="0" w:firstColumn="1" w:lastColumn="0" w:noHBand="0" w:noVBand="1"/>
      </w:tblPr>
      <w:tblGrid>
        <w:gridCol w:w="1560"/>
        <w:gridCol w:w="2637"/>
        <w:gridCol w:w="2931"/>
        <w:gridCol w:w="3079"/>
        <w:gridCol w:w="2694"/>
        <w:gridCol w:w="1557"/>
        <w:gridCol w:w="1560"/>
      </w:tblGrid>
      <w:tr w:rsidR="00056893" w:rsidRPr="00F55BDF" w14:paraId="41396905" w14:textId="77777777" w:rsidTr="00303D3F">
        <w:trPr>
          <w:trHeight w:val="840"/>
          <w:tblHeader/>
        </w:trPr>
        <w:tc>
          <w:tcPr>
            <w:tcW w:w="48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699AB6" w14:textId="77777777" w:rsidR="00056893" w:rsidRPr="00F55BDF" w:rsidRDefault="00056893" w:rsidP="004002FD">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Résultats escomptés</w:t>
            </w:r>
          </w:p>
        </w:tc>
        <w:tc>
          <w:tcPr>
            <w:tcW w:w="8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6102F8" w14:textId="77777777" w:rsidR="00056893" w:rsidRPr="00F55BDF" w:rsidRDefault="00056893" w:rsidP="004002FD">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Indicateurs (avec désagrégation)</w:t>
            </w:r>
          </w:p>
        </w:tc>
        <w:tc>
          <w:tcPr>
            <w:tcW w:w="915" w:type="pc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CBBCF8B" w14:textId="77777777" w:rsidR="00056893" w:rsidRPr="00F55BDF" w:rsidRDefault="00056893" w:rsidP="004002FD">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Baseline (avec désagrégation)</w:t>
            </w:r>
          </w:p>
        </w:tc>
        <w:tc>
          <w:tcPr>
            <w:tcW w:w="961" w:type="pct"/>
            <w:tcBorders>
              <w:top w:val="single" w:sz="4" w:space="0" w:color="auto"/>
              <w:left w:val="nil"/>
              <w:bottom w:val="single" w:sz="4" w:space="0" w:color="auto"/>
              <w:right w:val="single" w:sz="4" w:space="0" w:color="auto"/>
            </w:tcBorders>
            <w:shd w:val="clear" w:color="000000" w:fill="D9D9D9"/>
            <w:vAlign w:val="center"/>
            <w:hideMark/>
          </w:tcPr>
          <w:p w14:paraId="0C15CD42" w14:textId="77777777" w:rsidR="00056893" w:rsidRPr="00F55BDF" w:rsidRDefault="00056893" w:rsidP="004002FD">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Cible annuelle</w:t>
            </w:r>
            <w:r w:rsidRPr="00F55BDF">
              <w:rPr>
                <w:rFonts w:eastAsia="Times New Roman" w:cstheme="minorHAnsi"/>
                <w:b/>
                <w:bCs/>
                <w:color w:val="000000"/>
                <w:lang w:eastAsia="fr-FR"/>
              </w:rPr>
              <w:br/>
            </w:r>
            <w:r w:rsidRPr="00F55BDF">
              <w:rPr>
                <w:rFonts w:eastAsia="Times New Roman" w:cstheme="minorHAnsi"/>
                <w:b/>
                <w:bCs/>
                <w:color w:val="000000"/>
                <w:sz w:val="18"/>
                <w:szCs w:val="18"/>
                <w:lang w:eastAsia="fr-FR"/>
              </w:rPr>
              <w:t xml:space="preserve"> (Valeur des indicateurs avec désagrégation)</w:t>
            </w:r>
          </w:p>
        </w:tc>
        <w:tc>
          <w:tcPr>
            <w:tcW w:w="841" w:type="pct"/>
            <w:tcBorders>
              <w:top w:val="single" w:sz="4" w:space="0" w:color="auto"/>
              <w:left w:val="single" w:sz="4" w:space="0" w:color="auto"/>
              <w:bottom w:val="single" w:sz="4" w:space="0" w:color="auto"/>
              <w:right w:val="single" w:sz="4" w:space="0" w:color="auto"/>
            </w:tcBorders>
            <w:shd w:val="clear" w:color="000000" w:fill="D9D9D9"/>
          </w:tcPr>
          <w:p w14:paraId="3B701493" w14:textId="2B529B2B" w:rsidR="00056893" w:rsidRPr="00F55BDF" w:rsidRDefault="00056893" w:rsidP="004002FD">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Valeur actuelle (avec désagrégation) 201</w:t>
            </w:r>
            <w:r w:rsidR="006C36B5" w:rsidRPr="00F55BDF">
              <w:rPr>
                <w:rFonts w:eastAsia="Times New Roman" w:cstheme="minorHAnsi"/>
                <w:b/>
                <w:bCs/>
                <w:color w:val="000000"/>
                <w:lang w:eastAsia="fr-FR"/>
              </w:rPr>
              <w:t>9</w:t>
            </w:r>
          </w:p>
        </w:tc>
        <w:tc>
          <w:tcPr>
            <w:tcW w:w="4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5D21CB3" w14:textId="77777777" w:rsidR="00056893" w:rsidRPr="00F55BDF" w:rsidRDefault="00056893" w:rsidP="004002FD">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Source de données</w:t>
            </w:r>
          </w:p>
        </w:tc>
        <w:tc>
          <w:tcPr>
            <w:tcW w:w="487" w:type="pct"/>
            <w:tcBorders>
              <w:top w:val="single" w:sz="4" w:space="0" w:color="auto"/>
              <w:left w:val="single" w:sz="4" w:space="0" w:color="auto"/>
              <w:right w:val="single" w:sz="4" w:space="0" w:color="auto"/>
            </w:tcBorders>
            <w:shd w:val="clear" w:color="000000" w:fill="D9D9D9"/>
            <w:vAlign w:val="center"/>
          </w:tcPr>
          <w:p w14:paraId="78A3DBEF" w14:textId="77777777" w:rsidR="00056893" w:rsidRPr="00F55BDF" w:rsidRDefault="00056893" w:rsidP="004002FD">
            <w:pPr>
              <w:spacing w:after="0" w:line="240" w:lineRule="auto"/>
              <w:jc w:val="center"/>
              <w:rPr>
                <w:rFonts w:eastAsia="Times New Roman" w:cstheme="minorHAnsi"/>
                <w:b/>
                <w:bCs/>
                <w:color w:val="000000"/>
                <w:lang w:eastAsia="fr-FR"/>
              </w:rPr>
            </w:pPr>
            <w:r w:rsidRPr="00F55BDF">
              <w:rPr>
                <w:rFonts w:eastAsia="Times New Roman" w:cstheme="minorHAnsi"/>
                <w:b/>
                <w:bCs/>
                <w:color w:val="000000"/>
                <w:lang w:eastAsia="fr-FR"/>
              </w:rPr>
              <w:t>Moyen de vérification</w:t>
            </w:r>
          </w:p>
        </w:tc>
      </w:tr>
      <w:tr w:rsidR="00056893" w:rsidRPr="00F55BDF" w14:paraId="4E30757D" w14:textId="77777777" w:rsidTr="00303D3F">
        <w:trPr>
          <w:trHeight w:val="1651"/>
        </w:trPr>
        <w:tc>
          <w:tcPr>
            <w:tcW w:w="487" w:type="pct"/>
            <w:vMerge w:val="restart"/>
            <w:tcBorders>
              <w:top w:val="nil"/>
              <w:left w:val="single" w:sz="4" w:space="0" w:color="auto"/>
              <w:right w:val="single" w:sz="4" w:space="0" w:color="auto"/>
            </w:tcBorders>
            <w:shd w:val="clear" w:color="auto" w:fill="auto"/>
            <w:vAlign w:val="center"/>
            <w:hideMark/>
          </w:tcPr>
          <w:p w14:paraId="527EAEC5" w14:textId="1DB3DB7B" w:rsidR="00056893"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b/>
                <w:bCs/>
                <w:i/>
                <w:iCs/>
                <w:color w:val="000000"/>
                <w:sz w:val="20"/>
                <w:szCs w:val="20"/>
                <w:lang w:eastAsia="fr-FR"/>
              </w:rPr>
              <w:t>Résultat activités 1</w:t>
            </w:r>
            <w:r w:rsidRPr="00F55BDF">
              <w:rPr>
                <w:rFonts w:eastAsia="Times New Roman" w:cstheme="minorHAnsi"/>
                <w:i/>
                <w:iCs/>
                <w:color w:val="000000"/>
                <w:sz w:val="20"/>
                <w:szCs w:val="20"/>
                <w:lang w:eastAsia="fr-FR"/>
              </w:rPr>
              <w:t> :</w:t>
            </w:r>
            <w:r w:rsidR="006C36B5" w:rsidRPr="00F55BDF">
              <w:rPr>
                <w:sz w:val="20"/>
                <w:szCs w:val="20"/>
              </w:rPr>
              <w:t xml:space="preserve"> </w:t>
            </w:r>
            <w:r w:rsidR="006C36B5" w:rsidRPr="00F55BDF">
              <w:rPr>
                <w:rFonts w:eastAsia="Times New Roman" w:cstheme="minorHAnsi"/>
                <w:i/>
                <w:iCs/>
                <w:color w:val="000000"/>
                <w:sz w:val="20"/>
                <w:szCs w:val="20"/>
                <w:lang w:eastAsia="fr-FR"/>
              </w:rPr>
              <w:t>L’appui à la planification à l’échelle des paysages et à l’analyse économique favorisent l’intégration de la biodiversité dans la gestion de la région de l’Atsimo-Andrefana, ce qui représente trois districts et une surface approximative de 2,4 million</w:t>
            </w:r>
            <w:r w:rsidR="00A9194B" w:rsidRPr="00F55BDF">
              <w:rPr>
                <w:rFonts w:eastAsia="Times New Roman" w:cstheme="minorHAnsi"/>
                <w:i/>
                <w:iCs/>
                <w:color w:val="000000"/>
                <w:sz w:val="20"/>
                <w:szCs w:val="20"/>
                <w:lang w:eastAsia="fr-FR"/>
              </w:rPr>
              <w:t>s</w:t>
            </w:r>
            <w:r w:rsidR="006C36B5" w:rsidRPr="00F55BDF">
              <w:rPr>
                <w:rFonts w:eastAsia="Times New Roman" w:cstheme="minorHAnsi"/>
                <w:i/>
                <w:iCs/>
                <w:color w:val="000000"/>
                <w:sz w:val="20"/>
                <w:szCs w:val="20"/>
                <w:lang w:eastAsia="fr-FR"/>
              </w:rPr>
              <w:t xml:space="preserve"> d’hectares</w:t>
            </w:r>
          </w:p>
        </w:tc>
        <w:tc>
          <w:tcPr>
            <w:tcW w:w="823" w:type="pct"/>
            <w:tcBorders>
              <w:top w:val="nil"/>
              <w:left w:val="nil"/>
              <w:bottom w:val="single" w:sz="4" w:space="0" w:color="auto"/>
              <w:right w:val="single" w:sz="4" w:space="0" w:color="auto"/>
            </w:tcBorders>
            <w:shd w:val="clear" w:color="auto" w:fill="auto"/>
            <w:vAlign w:val="center"/>
            <w:hideMark/>
          </w:tcPr>
          <w:p w14:paraId="3764E067" w14:textId="4EA53B64" w:rsidR="00A9194B"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1 :</w:t>
            </w:r>
            <w:r w:rsidR="00A9194B" w:rsidRPr="00F55BDF">
              <w:rPr>
                <w:rFonts w:eastAsia="Times New Roman" w:cstheme="minorHAnsi"/>
                <w:i/>
                <w:iCs/>
                <w:color w:val="000000"/>
                <w:sz w:val="20"/>
                <w:szCs w:val="20"/>
                <w:lang w:eastAsia="fr-FR"/>
              </w:rPr>
              <w:t xml:space="preserve"> (a) Nombre de système</w:t>
            </w:r>
            <w:r w:rsidR="004002FD" w:rsidRPr="00F55BDF">
              <w:rPr>
                <w:rFonts w:eastAsia="Times New Roman" w:cstheme="minorHAnsi"/>
                <w:i/>
                <w:iCs/>
                <w:color w:val="000000"/>
                <w:sz w:val="20"/>
                <w:szCs w:val="20"/>
                <w:lang w:eastAsia="fr-FR"/>
              </w:rPr>
              <w:t xml:space="preserve"> Outil de Planification Territoriale tenant compte de la Biodiversité (</w:t>
            </w:r>
            <w:r w:rsidR="00A9194B" w:rsidRPr="00F55BDF">
              <w:rPr>
                <w:rFonts w:eastAsia="Times New Roman" w:cstheme="minorHAnsi"/>
                <w:i/>
                <w:iCs/>
                <w:color w:val="000000"/>
                <w:sz w:val="20"/>
                <w:szCs w:val="20"/>
                <w:lang w:eastAsia="fr-FR"/>
              </w:rPr>
              <w:t>OPT BD</w:t>
            </w:r>
            <w:r w:rsidR="004002FD" w:rsidRPr="00F55BDF">
              <w:rPr>
                <w:rFonts w:eastAsia="Times New Roman" w:cstheme="minorHAnsi"/>
                <w:i/>
                <w:iCs/>
                <w:color w:val="000000"/>
                <w:sz w:val="20"/>
                <w:szCs w:val="20"/>
                <w:lang w:eastAsia="fr-FR"/>
              </w:rPr>
              <w:t>)</w:t>
            </w:r>
            <w:r w:rsidR="00A9194B" w:rsidRPr="00F55BDF">
              <w:rPr>
                <w:rFonts w:eastAsia="Times New Roman" w:cstheme="minorHAnsi"/>
                <w:i/>
                <w:iCs/>
                <w:color w:val="000000"/>
                <w:sz w:val="20"/>
                <w:szCs w:val="20"/>
                <w:lang w:eastAsia="fr-FR"/>
              </w:rPr>
              <w:t xml:space="preserve"> incluant </w:t>
            </w:r>
            <w:r w:rsidR="00C53D1B" w:rsidRPr="00F55BDF">
              <w:rPr>
                <w:rFonts w:eastAsia="Times New Roman" w:cstheme="minorHAnsi"/>
                <w:i/>
                <w:iCs/>
                <w:color w:val="000000"/>
                <w:sz w:val="20"/>
                <w:szCs w:val="20"/>
                <w:lang w:eastAsia="fr-FR"/>
              </w:rPr>
              <w:t>le Plan de Recommandation d’Occupation du Sol</w:t>
            </w:r>
            <w:r w:rsidR="004002FD" w:rsidRPr="00F55BDF">
              <w:rPr>
                <w:rFonts w:eastAsia="Times New Roman" w:cstheme="minorHAnsi"/>
                <w:i/>
                <w:iCs/>
                <w:color w:val="000000"/>
                <w:sz w:val="20"/>
                <w:szCs w:val="20"/>
                <w:lang w:eastAsia="fr-FR"/>
              </w:rPr>
              <w:t xml:space="preserve"> tenant compte de la Composante Biodiversité (</w:t>
            </w:r>
            <w:r w:rsidR="00A9194B" w:rsidRPr="00F55BDF">
              <w:rPr>
                <w:rFonts w:eastAsia="Times New Roman" w:cstheme="minorHAnsi"/>
                <w:i/>
                <w:iCs/>
                <w:color w:val="000000"/>
                <w:sz w:val="20"/>
                <w:szCs w:val="20"/>
                <w:lang w:eastAsia="fr-FR"/>
              </w:rPr>
              <w:t>PROSCB</w:t>
            </w:r>
            <w:r w:rsidR="004002FD" w:rsidRPr="00F55BDF">
              <w:rPr>
                <w:rFonts w:eastAsia="Times New Roman" w:cstheme="minorHAnsi"/>
                <w:i/>
                <w:iCs/>
                <w:color w:val="000000"/>
                <w:sz w:val="20"/>
                <w:szCs w:val="20"/>
                <w:lang w:eastAsia="fr-FR"/>
              </w:rPr>
              <w:t>)</w:t>
            </w:r>
            <w:r w:rsidR="00A9194B" w:rsidRPr="00F55BDF">
              <w:rPr>
                <w:rFonts w:eastAsia="Times New Roman" w:cstheme="minorHAnsi"/>
                <w:i/>
                <w:iCs/>
                <w:color w:val="000000"/>
                <w:sz w:val="20"/>
                <w:szCs w:val="20"/>
                <w:lang w:eastAsia="fr-FR"/>
              </w:rPr>
              <w:t xml:space="preserve"> élaboré et intégré au </w:t>
            </w:r>
            <w:r w:rsidR="004002FD" w:rsidRPr="00F55BDF">
              <w:rPr>
                <w:rFonts w:eastAsia="Times New Roman" w:cstheme="minorHAnsi"/>
                <w:i/>
                <w:iCs/>
                <w:color w:val="000000"/>
                <w:sz w:val="20"/>
                <w:szCs w:val="20"/>
                <w:lang w:eastAsia="fr-FR"/>
              </w:rPr>
              <w:t>Schéma Régional d’Aménagement du Territoire (</w:t>
            </w:r>
            <w:r w:rsidR="00A9194B" w:rsidRPr="00F55BDF">
              <w:rPr>
                <w:rFonts w:eastAsia="Times New Roman" w:cstheme="minorHAnsi"/>
                <w:i/>
                <w:iCs/>
                <w:color w:val="000000"/>
                <w:sz w:val="20"/>
                <w:szCs w:val="20"/>
                <w:lang w:eastAsia="fr-FR"/>
              </w:rPr>
              <w:t>SRAT</w:t>
            </w:r>
            <w:r w:rsidR="004002FD" w:rsidRPr="00F55BDF">
              <w:rPr>
                <w:rFonts w:eastAsia="Times New Roman" w:cstheme="minorHAnsi"/>
                <w:i/>
                <w:iCs/>
                <w:color w:val="000000"/>
                <w:sz w:val="20"/>
                <w:szCs w:val="20"/>
                <w:lang w:eastAsia="fr-FR"/>
              </w:rPr>
              <w:t>)</w:t>
            </w:r>
            <w:r w:rsidR="00A9194B" w:rsidRPr="00F55BDF">
              <w:rPr>
                <w:rFonts w:eastAsia="Times New Roman" w:cstheme="minorHAnsi"/>
                <w:i/>
                <w:iCs/>
                <w:color w:val="000000"/>
                <w:sz w:val="20"/>
                <w:szCs w:val="20"/>
                <w:lang w:eastAsia="fr-FR"/>
              </w:rPr>
              <w:t xml:space="preserve"> et </w:t>
            </w:r>
            <w:r w:rsidR="004002FD" w:rsidRPr="00F55BDF">
              <w:rPr>
                <w:rFonts w:eastAsia="Times New Roman" w:cstheme="minorHAnsi"/>
                <w:i/>
                <w:iCs/>
                <w:color w:val="000000"/>
                <w:sz w:val="20"/>
                <w:szCs w:val="20"/>
                <w:lang w:eastAsia="fr-FR"/>
              </w:rPr>
              <w:t>Plan Régional de développement (</w:t>
            </w:r>
            <w:r w:rsidR="00A9194B" w:rsidRPr="00F55BDF">
              <w:rPr>
                <w:rFonts w:eastAsia="Times New Roman" w:cstheme="minorHAnsi"/>
                <w:i/>
                <w:iCs/>
                <w:color w:val="000000"/>
                <w:sz w:val="20"/>
                <w:szCs w:val="20"/>
                <w:lang w:eastAsia="fr-FR"/>
              </w:rPr>
              <w:t>PRD</w:t>
            </w:r>
            <w:r w:rsidR="004002FD" w:rsidRPr="00F55BDF">
              <w:rPr>
                <w:rFonts w:eastAsia="Times New Roman" w:cstheme="minorHAnsi"/>
                <w:i/>
                <w:iCs/>
                <w:color w:val="000000"/>
                <w:sz w:val="20"/>
                <w:szCs w:val="20"/>
                <w:lang w:eastAsia="fr-FR"/>
              </w:rPr>
              <w:t>).</w:t>
            </w:r>
          </w:p>
          <w:p w14:paraId="3BBC1DB2" w14:textId="77777777" w:rsidR="00A9194B" w:rsidRPr="00F55BDF" w:rsidRDefault="00A9194B" w:rsidP="004002FD">
            <w:pPr>
              <w:spacing w:after="0" w:line="240" w:lineRule="auto"/>
              <w:rPr>
                <w:rFonts w:eastAsia="Times New Roman" w:cstheme="minorHAnsi"/>
                <w:i/>
                <w:iCs/>
                <w:color w:val="000000"/>
                <w:sz w:val="20"/>
                <w:szCs w:val="20"/>
                <w:lang w:eastAsia="fr-FR"/>
              </w:rPr>
            </w:pPr>
          </w:p>
          <w:p w14:paraId="6103A01E" w14:textId="39883329" w:rsidR="00056893" w:rsidRPr="00F55BDF" w:rsidRDefault="00056893" w:rsidP="004002FD">
            <w:pPr>
              <w:spacing w:after="0" w:line="240" w:lineRule="auto"/>
              <w:rPr>
                <w:rFonts w:eastAsia="Times New Roman" w:cstheme="minorHAnsi"/>
                <w:i/>
                <w:iCs/>
                <w:color w:val="000000"/>
                <w:sz w:val="20"/>
                <w:szCs w:val="20"/>
                <w:lang w:eastAsia="fr-FR"/>
              </w:rPr>
            </w:pPr>
          </w:p>
        </w:tc>
        <w:tc>
          <w:tcPr>
            <w:tcW w:w="915" w:type="pct"/>
            <w:tcBorders>
              <w:top w:val="nil"/>
              <w:left w:val="nil"/>
              <w:bottom w:val="single" w:sz="4" w:space="0" w:color="auto"/>
              <w:right w:val="single" w:sz="4" w:space="0" w:color="auto"/>
            </w:tcBorders>
            <w:shd w:val="clear" w:color="auto" w:fill="auto"/>
            <w:noWrap/>
            <w:vAlign w:val="center"/>
            <w:hideMark/>
          </w:tcPr>
          <w:p w14:paraId="398A139F" w14:textId="2C78A7C4" w:rsidR="00056893" w:rsidRPr="00F55BDF" w:rsidRDefault="00A9194B"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l</w:t>
            </w:r>
            <w:r w:rsidR="00056893" w:rsidRPr="00F55BDF">
              <w:rPr>
                <w:rFonts w:eastAsia="Times New Roman" w:cstheme="minorHAnsi"/>
                <w:i/>
                <w:color w:val="000000"/>
                <w:sz w:val="20"/>
                <w:szCs w:val="20"/>
                <w:lang w:eastAsia="fr-FR"/>
              </w:rPr>
              <w:t xml:space="preserve">e système OPT BD n’est pas encore </w:t>
            </w:r>
            <w:r w:rsidRPr="00F55BDF">
              <w:rPr>
                <w:rFonts w:eastAsia="Times New Roman" w:cstheme="minorHAnsi"/>
                <w:i/>
                <w:color w:val="000000"/>
                <w:sz w:val="20"/>
                <w:szCs w:val="20"/>
                <w:lang w:eastAsia="fr-FR"/>
              </w:rPr>
              <w:t>créé.</w:t>
            </w:r>
          </w:p>
          <w:p w14:paraId="2BC8E6BE" w14:textId="3C6134FE" w:rsidR="007A01B6" w:rsidRPr="00F55BDF" w:rsidRDefault="007A01B6"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Le SRAT n’a pas encore de PROSCB</w:t>
            </w:r>
          </w:p>
          <w:p w14:paraId="632295F5" w14:textId="1003E2B0" w:rsidR="00A9194B" w:rsidRPr="00F55BDF" w:rsidRDefault="00A9194B"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2018 : le système OPT BD n’est pas encore créé. (</w:t>
            </w:r>
            <w:r w:rsidR="007507FE" w:rsidRPr="00F55BDF">
              <w:rPr>
                <w:rFonts w:eastAsia="Times New Roman" w:cstheme="minorHAnsi"/>
                <w:i/>
                <w:color w:val="000000"/>
                <w:sz w:val="20"/>
                <w:szCs w:val="20"/>
                <w:lang w:eastAsia="fr-FR"/>
              </w:rPr>
              <w:t xml:space="preserve">Recrutement des consultants et </w:t>
            </w:r>
            <w:r w:rsidR="005C1AA8" w:rsidRPr="00F55BDF">
              <w:rPr>
                <w:rFonts w:eastAsia="Times New Roman" w:cstheme="minorHAnsi"/>
                <w:i/>
                <w:color w:val="000000"/>
                <w:sz w:val="20"/>
                <w:szCs w:val="20"/>
                <w:lang w:eastAsia="fr-FR"/>
              </w:rPr>
              <w:t>constitution</w:t>
            </w:r>
            <w:r w:rsidR="007507FE" w:rsidRPr="00F55BDF">
              <w:rPr>
                <w:rFonts w:eastAsia="Times New Roman" w:cstheme="minorHAnsi"/>
                <w:i/>
                <w:color w:val="000000"/>
                <w:sz w:val="20"/>
                <w:szCs w:val="20"/>
                <w:lang w:eastAsia="fr-FR"/>
              </w:rPr>
              <w:t xml:space="preserve"> des membres de l’Equipe Technique Restreinte (ETR) au mois de décembre 2018. Démarrage, février 2019) </w:t>
            </w:r>
          </w:p>
        </w:tc>
        <w:tc>
          <w:tcPr>
            <w:tcW w:w="961" w:type="pct"/>
            <w:tcBorders>
              <w:top w:val="nil"/>
              <w:left w:val="nil"/>
              <w:bottom w:val="single" w:sz="4" w:space="0" w:color="auto"/>
              <w:right w:val="single" w:sz="4" w:space="0" w:color="auto"/>
            </w:tcBorders>
            <w:shd w:val="clear" w:color="auto" w:fill="auto"/>
            <w:vAlign w:val="center"/>
          </w:tcPr>
          <w:p w14:paraId="044832A8" w14:textId="343308E4" w:rsidR="00C53D1B" w:rsidRPr="00F55BDF" w:rsidRDefault="00C53D1B"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2018 : Elaboration de la carte d’Occupation du Sol et de déforestation. Acquisition des images SPOT 6 de haute précision. Identification et prospection des Aires de Biodiversités Essentielles (ABE).</w:t>
            </w:r>
          </w:p>
          <w:p w14:paraId="458C9DF8" w14:textId="5996ABC3" w:rsidR="007507FE" w:rsidRPr="00F55BDF" w:rsidRDefault="007507FE"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2019 : 01 système OPT BD opérationnel </w:t>
            </w:r>
            <w:r w:rsidR="005C1AA8" w:rsidRPr="00F55BDF">
              <w:rPr>
                <w:rFonts w:eastAsia="Times New Roman" w:cstheme="minorHAnsi"/>
                <w:i/>
                <w:color w:val="000000"/>
                <w:sz w:val="20"/>
                <w:szCs w:val="20"/>
                <w:lang w:eastAsia="fr-FR"/>
              </w:rPr>
              <w:t>(décembre)</w:t>
            </w:r>
          </w:p>
          <w:p w14:paraId="295F3ADE" w14:textId="533A8E86" w:rsidR="005C1AA8" w:rsidRPr="00F55BDF" w:rsidRDefault="005C1AA8"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2019 : OPT BD incluant PROSCB</w:t>
            </w:r>
          </w:p>
          <w:p w14:paraId="087A83EC" w14:textId="32A5FD39" w:rsidR="005C1AA8" w:rsidRPr="00F55BDF" w:rsidRDefault="005C1AA8"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2019 : PRD </w:t>
            </w:r>
            <w:r w:rsidR="00C53D1B" w:rsidRPr="00F55BDF">
              <w:rPr>
                <w:rFonts w:eastAsia="Times New Roman" w:cstheme="minorHAnsi"/>
                <w:i/>
                <w:color w:val="000000"/>
                <w:sz w:val="20"/>
                <w:szCs w:val="20"/>
                <w:lang w:eastAsia="fr-FR"/>
              </w:rPr>
              <w:t xml:space="preserve">élaboré </w:t>
            </w:r>
            <w:r w:rsidRPr="00F55BDF">
              <w:rPr>
                <w:rFonts w:eastAsia="Times New Roman" w:cstheme="minorHAnsi"/>
                <w:i/>
                <w:color w:val="000000"/>
                <w:sz w:val="20"/>
                <w:szCs w:val="20"/>
                <w:lang w:eastAsia="fr-FR"/>
              </w:rPr>
              <w:t>intégrant OPTBD et PROSCB</w:t>
            </w:r>
          </w:p>
          <w:p w14:paraId="40DFC9E5" w14:textId="14EF4800" w:rsidR="00056893" w:rsidRPr="00F55BDF" w:rsidRDefault="00056893"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2022 : </w:t>
            </w:r>
            <w:r w:rsidR="007507FE" w:rsidRPr="00F55BDF">
              <w:rPr>
                <w:rFonts w:eastAsia="Times New Roman" w:cstheme="minorHAnsi"/>
                <w:i/>
                <w:color w:val="000000"/>
                <w:sz w:val="20"/>
                <w:szCs w:val="20"/>
                <w:lang w:eastAsia="fr-FR"/>
              </w:rPr>
              <w:t>01 système OPT BD incluant PROSCB élaboré et intégré au SRAT et PRD</w:t>
            </w:r>
            <w:r w:rsidR="004002FD" w:rsidRPr="00F55BDF">
              <w:rPr>
                <w:rFonts w:eastAsia="Times New Roman" w:cstheme="minorHAnsi"/>
                <w:i/>
                <w:color w:val="000000"/>
                <w:sz w:val="20"/>
                <w:szCs w:val="20"/>
                <w:lang w:eastAsia="fr-FR"/>
              </w:rPr>
              <w:t>.</w:t>
            </w:r>
          </w:p>
        </w:tc>
        <w:tc>
          <w:tcPr>
            <w:tcW w:w="841" w:type="pct"/>
            <w:tcBorders>
              <w:top w:val="single" w:sz="4" w:space="0" w:color="auto"/>
              <w:left w:val="nil"/>
              <w:bottom w:val="single" w:sz="4" w:space="0" w:color="auto"/>
              <w:right w:val="single" w:sz="4" w:space="0" w:color="auto"/>
            </w:tcBorders>
          </w:tcPr>
          <w:p w14:paraId="2CCE2522" w14:textId="77777777" w:rsidR="00ED59AA" w:rsidRPr="00F55BDF" w:rsidRDefault="00ED59AA" w:rsidP="00F7509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w:t>
            </w:r>
          </w:p>
          <w:p w14:paraId="7461756A" w14:textId="1A724502" w:rsidR="00056893" w:rsidRPr="00F55BDF" w:rsidRDefault="00056893" w:rsidP="00F7509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Etapes réalisé</w:t>
            </w:r>
            <w:r w:rsidR="00F776FB" w:rsidRPr="00F55BDF">
              <w:rPr>
                <w:rFonts w:eastAsia="Times New Roman" w:cstheme="minorHAnsi"/>
                <w:color w:val="000000"/>
                <w:sz w:val="20"/>
                <w:szCs w:val="20"/>
                <w:lang w:eastAsia="fr-FR"/>
              </w:rPr>
              <w:t>e</w:t>
            </w:r>
            <w:r w:rsidRPr="00F55BDF">
              <w:rPr>
                <w:rFonts w:eastAsia="Times New Roman" w:cstheme="minorHAnsi"/>
                <w:color w:val="000000"/>
                <w:sz w:val="20"/>
                <w:szCs w:val="20"/>
                <w:lang w:eastAsia="fr-FR"/>
              </w:rPr>
              <w:t xml:space="preserve">s :  </w:t>
            </w:r>
          </w:p>
          <w:p w14:paraId="5F17AD51" w14:textId="77777777" w:rsidR="007507FE" w:rsidRPr="00F55BDF" w:rsidRDefault="007507FE" w:rsidP="00F7509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-ETR et consultants ont travaillé ensemble dans la conception de l’OPT BD.</w:t>
            </w:r>
          </w:p>
          <w:p w14:paraId="2280D7CF" w14:textId="5E706D85" w:rsidR="007507FE" w:rsidRPr="00F55BDF" w:rsidRDefault="007507FE" w:rsidP="00F7509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-OPT BD après phase de test et opérationnel</w:t>
            </w:r>
            <w:r w:rsidR="007A01B6" w:rsidRPr="00F55BDF">
              <w:rPr>
                <w:rFonts w:eastAsia="Times New Roman" w:cstheme="minorHAnsi"/>
                <w:color w:val="000000"/>
                <w:sz w:val="20"/>
                <w:szCs w:val="20"/>
                <w:lang w:eastAsia="fr-FR"/>
              </w:rPr>
              <w:t xml:space="preserve"> et incluant PROSCB.</w:t>
            </w:r>
          </w:p>
          <w:p w14:paraId="1A267D1B" w14:textId="6552EE2F" w:rsidR="007A01B6" w:rsidRPr="00F55BDF" w:rsidRDefault="007A01B6" w:rsidP="00F7509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-PRD intégrant OPT BD et PROSCB.</w:t>
            </w:r>
          </w:p>
          <w:p w14:paraId="2D614F97" w14:textId="77777777" w:rsidR="007507FE" w:rsidRDefault="007507FE" w:rsidP="00F7509E">
            <w:pPr>
              <w:spacing w:after="0"/>
              <w:rPr>
                <w:rFonts w:ascii="Times New Roman" w:eastAsia="Calibri" w:hAnsi="Times New Roman" w:cs="Times New Roman"/>
                <w:color w:val="0563C1"/>
                <w:u w:val="single"/>
              </w:rPr>
            </w:pPr>
            <w:r w:rsidRPr="00F55BDF">
              <w:rPr>
                <w:rFonts w:eastAsia="Times New Roman" w:cstheme="minorHAnsi"/>
                <w:color w:val="000000"/>
                <w:sz w:val="20"/>
                <w:szCs w:val="20"/>
                <w:lang w:eastAsia="fr-FR"/>
              </w:rPr>
              <w:t xml:space="preserve">- L’OPT est mis en ligne et accessible à travers le lien </w:t>
            </w:r>
            <w:hyperlink r:id="rId17" w:history="1">
              <w:r w:rsidRPr="00F55BDF">
                <w:rPr>
                  <w:rFonts w:ascii="Times New Roman" w:eastAsia="Calibri" w:hAnsi="Times New Roman" w:cs="Times New Roman"/>
                  <w:color w:val="0563C1"/>
                  <w:u w:val="single"/>
                </w:rPr>
                <w:t>https://41.74.222.2</w:t>
              </w:r>
            </w:hyperlink>
          </w:p>
          <w:p w14:paraId="645133A0" w14:textId="024777AD" w:rsidR="00F7509E" w:rsidRPr="00F7509E" w:rsidRDefault="00F7509E" w:rsidP="00F7509E">
            <w:pPr>
              <w:spacing w:after="0"/>
              <w:rPr>
                <w:rFonts w:eastAsia="Times New Roman" w:cstheme="minorHAnsi"/>
                <w:color w:val="000000"/>
                <w:sz w:val="20"/>
                <w:szCs w:val="20"/>
                <w:lang w:val="en-GB" w:eastAsia="fr-FR"/>
              </w:rPr>
            </w:pPr>
            <w:r w:rsidRPr="00F7509E">
              <w:rPr>
                <w:rFonts w:ascii="Times New Roman" w:eastAsia="Calibri" w:hAnsi="Times New Roman" w:cs="Times New Roman"/>
                <w:lang w:val="en-GB" w:eastAsia="fr-FR"/>
              </w:rPr>
              <w:t xml:space="preserve">-site web: </w:t>
            </w:r>
            <w:r w:rsidRPr="00F7509E">
              <w:rPr>
                <w:rFonts w:ascii="Times New Roman" w:eastAsia="Calibri" w:hAnsi="Times New Roman" w:cs="Times New Roman"/>
                <w:color w:val="0563C1"/>
                <w:lang w:val="en-GB" w:eastAsia="fr-FR"/>
              </w:rPr>
              <w:t>www.ober.mg</w:t>
            </w:r>
          </w:p>
        </w:tc>
        <w:tc>
          <w:tcPr>
            <w:tcW w:w="486" w:type="pct"/>
            <w:tcBorders>
              <w:top w:val="nil"/>
              <w:left w:val="nil"/>
              <w:bottom w:val="single" w:sz="4" w:space="0" w:color="auto"/>
              <w:right w:val="single" w:sz="4" w:space="0" w:color="auto"/>
            </w:tcBorders>
            <w:shd w:val="clear" w:color="auto" w:fill="auto"/>
            <w:noWrap/>
            <w:vAlign w:val="center"/>
            <w:hideMark/>
          </w:tcPr>
          <w:p w14:paraId="47089B26" w14:textId="77777777" w:rsidR="00056893" w:rsidRPr="00F55BDF" w:rsidRDefault="005C1AA8" w:rsidP="007507FE">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w:t>
            </w:r>
            <w:r w:rsidR="00056893" w:rsidRPr="00F55BDF">
              <w:rPr>
                <w:rFonts w:eastAsia="Times New Roman" w:cstheme="minorHAnsi"/>
                <w:color w:val="000000"/>
                <w:sz w:val="20"/>
                <w:szCs w:val="20"/>
                <w:lang w:eastAsia="fr-FR"/>
              </w:rPr>
              <w:t>Rapport</w:t>
            </w:r>
            <w:r w:rsidR="007507FE" w:rsidRPr="00F55BDF">
              <w:rPr>
                <w:rFonts w:eastAsia="Times New Roman" w:cstheme="minorHAnsi"/>
                <w:color w:val="000000"/>
                <w:sz w:val="20"/>
                <w:szCs w:val="20"/>
                <w:lang w:eastAsia="fr-FR"/>
              </w:rPr>
              <w:t>s périodiques des consultants OPT BD</w:t>
            </w:r>
            <w:r w:rsidRPr="00F55BDF">
              <w:rPr>
                <w:rFonts w:eastAsia="Times New Roman" w:cstheme="minorHAnsi"/>
                <w:color w:val="000000"/>
                <w:sz w:val="20"/>
                <w:szCs w:val="20"/>
                <w:lang w:eastAsia="fr-FR"/>
              </w:rPr>
              <w:t>.</w:t>
            </w:r>
          </w:p>
          <w:p w14:paraId="48127665" w14:textId="3C43AF48" w:rsidR="005C1AA8" w:rsidRPr="00F55BDF" w:rsidRDefault="005C1AA8" w:rsidP="005C1AA8">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w:t>
            </w:r>
            <w:r w:rsidRPr="00F55BDF">
              <w:t xml:space="preserve"> </w:t>
            </w:r>
            <w:r w:rsidRPr="00F55BDF">
              <w:rPr>
                <w:rFonts w:eastAsia="Times New Roman" w:cstheme="minorHAnsi"/>
                <w:color w:val="000000"/>
                <w:sz w:val="20"/>
                <w:szCs w:val="20"/>
                <w:lang w:eastAsia="fr-FR"/>
              </w:rPr>
              <w:t xml:space="preserve">Vérification du lien </w:t>
            </w:r>
          </w:p>
          <w:p w14:paraId="1A366E60" w14:textId="63E6D51F" w:rsidR="005C1AA8" w:rsidRPr="00F55BDF" w:rsidRDefault="005C1AA8" w:rsidP="005C1AA8">
            <w:pPr>
              <w:spacing w:after="0" w:line="240" w:lineRule="auto"/>
              <w:rPr>
                <w:rFonts w:eastAsia="Times New Roman" w:cstheme="minorHAnsi"/>
                <w:color w:val="000000"/>
                <w:sz w:val="20"/>
                <w:szCs w:val="20"/>
                <w:lang w:eastAsia="fr-FR"/>
              </w:rPr>
            </w:pPr>
          </w:p>
        </w:tc>
        <w:tc>
          <w:tcPr>
            <w:tcW w:w="487" w:type="pct"/>
            <w:tcBorders>
              <w:top w:val="nil"/>
              <w:left w:val="nil"/>
              <w:bottom w:val="single" w:sz="4" w:space="0" w:color="auto"/>
              <w:right w:val="single" w:sz="4" w:space="0" w:color="auto"/>
            </w:tcBorders>
          </w:tcPr>
          <w:p w14:paraId="353505E8" w14:textId="13C91309" w:rsidR="00056893" w:rsidRPr="00F55BDF" w:rsidRDefault="005C1AA8" w:rsidP="005C1AA8">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SRAT, PRD, cahier de charges OPTBD, OPTBD en ligne</w:t>
            </w:r>
          </w:p>
        </w:tc>
      </w:tr>
      <w:tr w:rsidR="00056893" w:rsidRPr="00F55BDF" w14:paraId="4DA6977A" w14:textId="77777777" w:rsidTr="00303D3F">
        <w:trPr>
          <w:trHeight w:val="1651"/>
        </w:trPr>
        <w:tc>
          <w:tcPr>
            <w:tcW w:w="487" w:type="pct"/>
            <w:vMerge/>
            <w:tcBorders>
              <w:left w:val="single" w:sz="4" w:space="0" w:color="auto"/>
              <w:right w:val="single" w:sz="4" w:space="0" w:color="auto"/>
            </w:tcBorders>
            <w:shd w:val="clear" w:color="auto" w:fill="auto"/>
            <w:vAlign w:val="center"/>
          </w:tcPr>
          <w:p w14:paraId="34181EF1" w14:textId="77777777" w:rsidR="00056893" w:rsidRPr="00F55BDF" w:rsidRDefault="00056893"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4358E389" w14:textId="407D5D85" w:rsidR="007A01B6"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2 : </w:t>
            </w:r>
            <w:r w:rsidR="007A01B6" w:rsidRPr="00F55BDF">
              <w:rPr>
                <w:rFonts w:eastAsia="Times New Roman" w:cstheme="minorHAnsi"/>
                <w:i/>
                <w:iCs/>
                <w:color w:val="000000"/>
                <w:sz w:val="20"/>
                <w:szCs w:val="20"/>
                <w:lang w:eastAsia="fr-FR"/>
              </w:rPr>
              <w:t xml:space="preserve">(b) Superficie de territoire ayant un score de gestion de biodiversité (à mesurer par Commune) -- outil de </w:t>
            </w:r>
            <w:proofErr w:type="spellStart"/>
            <w:r w:rsidR="007A01B6" w:rsidRPr="00F55BDF">
              <w:rPr>
                <w:rFonts w:eastAsia="Times New Roman" w:cstheme="minorHAnsi"/>
                <w:i/>
                <w:iCs/>
                <w:color w:val="000000"/>
                <w:sz w:val="20"/>
                <w:szCs w:val="20"/>
                <w:lang w:eastAsia="fr-FR"/>
              </w:rPr>
              <w:t>scoring</w:t>
            </w:r>
            <w:proofErr w:type="spellEnd"/>
            <w:r w:rsidR="007A01B6" w:rsidRPr="00F55BDF">
              <w:rPr>
                <w:rFonts w:eastAsia="Times New Roman" w:cstheme="minorHAnsi"/>
                <w:i/>
                <w:iCs/>
                <w:color w:val="000000"/>
                <w:sz w:val="20"/>
                <w:szCs w:val="20"/>
                <w:lang w:eastAsia="fr-FR"/>
              </w:rPr>
              <w:t xml:space="preserve"> à élaborer/adapter</w:t>
            </w:r>
          </w:p>
          <w:p w14:paraId="4902DF39" w14:textId="77777777" w:rsidR="007A01B6" w:rsidRPr="00F55BDF" w:rsidRDefault="007A01B6" w:rsidP="004002FD">
            <w:pPr>
              <w:spacing w:after="0" w:line="240" w:lineRule="auto"/>
              <w:rPr>
                <w:rFonts w:eastAsia="Times New Roman" w:cstheme="minorHAnsi"/>
                <w:i/>
                <w:iCs/>
                <w:color w:val="000000"/>
                <w:sz w:val="20"/>
                <w:szCs w:val="20"/>
                <w:lang w:eastAsia="fr-FR"/>
              </w:rPr>
            </w:pPr>
          </w:p>
          <w:p w14:paraId="1C67D7EC" w14:textId="6452B944" w:rsidR="00056893" w:rsidRPr="00F55BDF" w:rsidRDefault="00056893" w:rsidP="004002FD">
            <w:pPr>
              <w:spacing w:after="0" w:line="240" w:lineRule="auto"/>
              <w:rPr>
                <w:rFonts w:eastAsia="Times New Roman" w:cstheme="minorHAnsi"/>
                <w:i/>
                <w:iCs/>
                <w:color w:val="000000"/>
                <w:sz w:val="20"/>
                <w:szCs w:val="20"/>
                <w:lang w:eastAsia="fr-FR"/>
              </w:rPr>
            </w:pPr>
          </w:p>
        </w:tc>
        <w:tc>
          <w:tcPr>
            <w:tcW w:w="915" w:type="pct"/>
            <w:tcBorders>
              <w:top w:val="nil"/>
              <w:left w:val="nil"/>
              <w:bottom w:val="single" w:sz="4" w:space="0" w:color="auto"/>
              <w:right w:val="single" w:sz="4" w:space="0" w:color="auto"/>
            </w:tcBorders>
            <w:shd w:val="clear" w:color="auto" w:fill="auto"/>
            <w:noWrap/>
            <w:vAlign w:val="center"/>
          </w:tcPr>
          <w:p w14:paraId="4C1D4755" w14:textId="77777777" w:rsidR="007A01B6" w:rsidRPr="00F55BDF" w:rsidRDefault="007A01B6" w:rsidP="004002FD">
            <w:pPr>
              <w:spacing w:after="0" w:line="240" w:lineRule="auto"/>
              <w:rPr>
                <w:rFonts w:eastAsia="Times New Roman" w:cstheme="minorHAnsi"/>
                <w:i/>
                <w:color w:val="000000"/>
                <w:sz w:val="20"/>
                <w:szCs w:val="20"/>
                <w:lang w:eastAsia="fr-FR"/>
              </w:rPr>
            </w:pPr>
          </w:p>
          <w:p w14:paraId="183C8BBC" w14:textId="1A8774C0" w:rsidR="007A01B6" w:rsidRPr="00F55BDF" w:rsidRDefault="00C53D1B"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Superficie = 0ha</w:t>
            </w:r>
          </w:p>
          <w:p w14:paraId="7C00242C" w14:textId="77777777" w:rsidR="007A01B6" w:rsidRPr="00F55BDF" w:rsidRDefault="007A01B6" w:rsidP="004002FD">
            <w:pPr>
              <w:spacing w:after="0" w:line="240" w:lineRule="auto"/>
              <w:rPr>
                <w:rFonts w:eastAsia="Times New Roman" w:cstheme="minorHAnsi"/>
                <w:i/>
                <w:color w:val="000000"/>
                <w:sz w:val="20"/>
                <w:szCs w:val="20"/>
                <w:lang w:eastAsia="fr-FR"/>
              </w:rPr>
            </w:pPr>
          </w:p>
          <w:p w14:paraId="56D34071" w14:textId="2EFE705E" w:rsidR="00056893" w:rsidRPr="00F55BDF" w:rsidRDefault="00056893" w:rsidP="004002FD">
            <w:pPr>
              <w:spacing w:after="0" w:line="240" w:lineRule="auto"/>
              <w:rPr>
                <w:rFonts w:eastAsia="Times New Roman" w:cstheme="minorHAnsi"/>
                <w:i/>
                <w:color w:val="000000"/>
                <w:sz w:val="20"/>
                <w:szCs w:val="20"/>
                <w:lang w:eastAsia="fr-FR"/>
              </w:rPr>
            </w:pPr>
          </w:p>
        </w:tc>
        <w:tc>
          <w:tcPr>
            <w:tcW w:w="961" w:type="pct"/>
            <w:tcBorders>
              <w:top w:val="nil"/>
              <w:left w:val="nil"/>
              <w:bottom w:val="single" w:sz="4" w:space="0" w:color="auto"/>
              <w:right w:val="single" w:sz="4" w:space="0" w:color="auto"/>
            </w:tcBorders>
            <w:shd w:val="clear" w:color="auto" w:fill="auto"/>
            <w:vAlign w:val="center"/>
          </w:tcPr>
          <w:p w14:paraId="3E3C5562" w14:textId="77777777" w:rsidR="007A01B6" w:rsidRPr="00F55BDF" w:rsidRDefault="007A01B6" w:rsidP="004002FD">
            <w:pPr>
              <w:spacing w:after="0" w:line="240" w:lineRule="auto"/>
              <w:rPr>
                <w:rFonts w:eastAsia="Times New Roman" w:cstheme="minorHAnsi"/>
                <w:i/>
                <w:color w:val="000000"/>
                <w:sz w:val="20"/>
                <w:szCs w:val="20"/>
                <w:lang w:eastAsia="fr-FR"/>
              </w:rPr>
            </w:pPr>
          </w:p>
          <w:p w14:paraId="5B020056" w14:textId="65BBD9D9" w:rsidR="007A01B6" w:rsidRPr="00F55BDF" w:rsidRDefault="007A01B6"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2021 : </w:t>
            </w:r>
            <w:r w:rsidR="004002FD" w:rsidRPr="00F55BDF">
              <w:rPr>
                <w:rFonts w:eastAsia="Times New Roman" w:cstheme="minorHAnsi"/>
                <w:i/>
                <w:color w:val="000000"/>
                <w:sz w:val="20"/>
                <w:szCs w:val="20"/>
                <w:lang w:eastAsia="fr-FR"/>
              </w:rPr>
              <w:t xml:space="preserve">(juin) score METT des 07 APC </w:t>
            </w:r>
          </w:p>
          <w:p w14:paraId="015C0260" w14:textId="14B3FC68" w:rsidR="00056893" w:rsidRPr="00F55BDF" w:rsidRDefault="00056893"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2022 : </w:t>
            </w:r>
            <w:r w:rsidR="007A01B6" w:rsidRPr="00F55BDF">
              <w:rPr>
                <w:rFonts w:eastAsia="Times New Roman" w:cstheme="minorHAnsi"/>
                <w:i/>
                <w:color w:val="000000"/>
                <w:sz w:val="20"/>
                <w:szCs w:val="20"/>
                <w:lang w:eastAsia="fr-FR"/>
              </w:rPr>
              <w:t>Superficie = 100 000ha</w:t>
            </w:r>
          </w:p>
          <w:p w14:paraId="41D3CFC0" w14:textId="77777777" w:rsidR="00056893" w:rsidRPr="00F55BDF" w:rsidRDefault="00056893" w:rsidP="004002FD">
            <w:pPr>
              <w:spacing w:after="0" w:line="240" w:lineRule="auto"/>
              <w:rPr>
                <w:rFonts w:eastAsia="Times New Roman" w:cstheme="minorHAnsi"/>
                <w:i/>
                <w:color w:val="000000"/>
                <w:sz w:val="20"/>
                <w:szCs w:val="20"/>
                <w:lang w:eastAsia="fr-FR"/>
              </w:rPr>
            </w:pPr>
          </w:p>
          <w:p w14:paraId="75D5DF66" w14:textId="0142F76B" w:rsidR="00056893" w:rsidRPr="00F55BDF" w:rsidRDefault="00056893" w:rsidP="004002FD">
            <w:pPr>
              <w:spacing w:after="0" w:line="240" w:lineRule="auto"/>
              <w:rPr>
                <w:rFonts w:eastAsia="Times New Roman" w:cstheme="minorHAnsi"/>
                <w:i/>
                <w:color w:val="000000"/>
                <w:sz w:val="20"/>
                <w:szCs w:val="20"/>
                <w:lang w:eastAsia="fr-FR"/>
              </w:rPr>
            </w:pPr>
          </w:p>
        </w:tc>
        <w:tc>
          <w:tcPr>
            <w:tcW w:w="841" w:type="pct"/>
            <w:tcBorders>
              <w:top w:val="single" w:sz="4" w:space="0" w:color="auto"/>
              <w:left w:val="nil"/>
              <w:bottom w:val="single" w:sz="4" w:space="0" w:color="auto"/>
              <w:right w:val="single" w:sz="4" w:space="0" w:color="auto"/>
            </w:tcBorders>
          </w:tcPr>
          <w:p w14:paraId="3C7ECD3A" w14:textId="5EA6D1AE" w:rsidR="004002FD" w:rsidRPr="00F55BDF" w:rsidRDefault="00ED59AA"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4002FD" w:rsidRPr="00F55BDF">
              <w:rPr>
                <w:rFonts w:eastAsia="Times New Roman" w:cstheme="minorHAnsi"/>
                <w:color w:val="000000"/>
                <w:sz w:val="20"/>
                <w:szCs w:val="20"/>
                <w:lang w:eastAsia="fr-FR"/>
              </w:rPr>
              <w:t xml:space="preserve">N/A </w:t>
            </w:r>
          </w:p>
          <w:p w14:paraId="2DB7DA6B" w14:textId="50CF6CC3" w:rsidR="004002FD" w:rsidRPr="00F55BDF" w:rsidRDefault="00056893"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Etapes réalisé</w:t>
            </w:r>
            <w:r w:rsidR="00F776FB" w:rsidRPr="00F55BDF">
              <w:rPr>
                <w:rFonts w:eastAsia="Times New Roman" w:cstheme="minorHAnsi"/>
                <w:color w:val="000000"/>
                <w:sz w:val="20"/>
                <w:szCs w:val="20"/>
                <w:lang w:eastAsia="fr-FR"/>
              </w:rPr>
              <w:t>e</w:t>
            </w:r>
            <w:r w:rsidRPr="00F55BDF">
              <w:rPr>
                <w:rFonts w:eastAsia="Times New Roman" w:cstheme="minorHAnsi"/>
                <w:color w:val="000000"/>
                <w:sz w:val="20"/>
                <w:szCs w:val="20"/>
                <w:lang w:eastAsia="fr-FR"/>
              </w:rPr>
              <w:t>s :</w:t>
            </w:r>
          </w:p>
          <w:p w14:paraId="7399E819" w14:textId="0744BC21" w:rsidR="00056893" w:rsidRPr="00F55BDF" w:rsidRDefault="00056893"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Explication</w:t>
            </w:r>
            <w:r w:rsidR="004002FD" w:rsidRPr="00F55BDF">
              <w:rPr>
                <w:rFonts w:eastAsia="Times New Roman" w:cstheme="minorHAnsi"/>
                <w:color w:val="000000"/>
                <w:sz w:val="20"/>
                <w:szCs w:val="20"/>
                <w:lang w:eastAsia="fr-FR"/>
              </w:rPr>
              <w:t xml:space="preserve"> : en attente des résultats des scores METT des 07 APC en juin 2021. Les statuts de mise en protection temporaire des 07 APC pour 2020. </w:t>
            </w:r>
          </w:p>
        </w:tc>
        <w:tc>
          <w:tcPr>
            <w:tcW w:w="486" w:type="pct"/>
            <w:tcBorders>
              <w:top w:val="nil"/>
              <w:left w:val="nil"/>
              <w:bottom w:val="single" w:sz="4" w:space="0" w:color="auto"/>
              <w:right w:val="single" w:sz="4" w:space="0" w:color="auto"/>
            </w:tcBorders>
            <w:shd w:val="clear" w:color="auto" w:fill="auto"/>
            <w:noWrap/>
            <w:vAlign w:val="center"/>
          </w:tcPr>
          <w:p w14:paraId="7269EC3C" w14:textId="6FA86F5B" w:rsidR="00056893" w:rsidRPr="00F55BDF" w:rsidRDefault="004002F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Evaluation annuelle (utilisant l'outil)</w:t>
            </w:r>
          </w:p>
        </w:tc>
        <w:tc>
          <w:tcPr>
            <w:tcW w:w="487" w:type="pct"/>
            <w:tcBorders>
              <w:top w:val="nil"/>
              <w:left w:val="nil"/>
              <w:bottom w:val="single" w:sz="4" w:space="0" w:color="auto"/>
              <w:right w:val="single" w:sz="4" w:space="0" w:color="auto"/>
            </w:tcBorders>
          </w:tcPr>
          <w:p w14:paraId="7182DF8D" w14:textId="77777777" w:rsidR="004002FD" w:rsidRPr="00F55BDF" w:rsidRDefault="004002F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Score par fokontany et par commune </w:t>
            </w:r>
          </w:p>
          <w:p w14:paraId="64989C07" w14:textId="44C70DA6" w:rsidR="00056893" w:rsidRPr="00F55BDF" w:rsidRDefault="004002F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Carte d'occupation du sol</w:t>
            </w:r>
          </w:p>
        </w:tc>
      </w:tr>
      <w:tr w:rsidR="00056893" w:rsidRPr="00F55BDF" w14:paraId="30EF4B59" w14:textId="77777777" w:rsidTr="00303D3F">
        <w:trPr>
          <w:trHeight w:val="1651"/>
        </w:trPr>
        <w:tc>
          <w:tcPr>
            <w:tcW w:w="487" w:type="pct"/>
            <w:vMerge/>
            <w:tcBorders>
              <w:left w:val="single" w:sz="4" w:space="0" w:color="auto"/>
              <w:right w:val="single" w:sz="4" w:space="0" w:color="auto"/>
            </w:tcBorders>
            <w:shd w:val="clear" w:color="auto" w:fill="auto"/>
            <w:vAlign w:val="center"/>
          </w:tcPr>
          <w:p w14:paraId="0B0E027C" w14:textId="77777777" w:rsidR="00056893" w:rsidRPr="00F55BDF" w:rsidRDefault="00056893"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3381F663" w14:textId="4E7DCD3D" w:rsidR="00056893"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3 : </w:t>
            </w:r>
            <w:r w:rsidR="004002FD" w:rsidRPr="00F55BDF">
              <w:rPr>
                <w:rFonts w:eastAsia="Times New Roman" w:cstheme="minorHAnsi"/>
                <w:i/>
                <w:iCs/>
                <w:color w:val="000000"/>
                <w:sz w:val="20"/>
                <w:szCs w:val="20"/>
                <w:lang w:eastAsia="fr-FR"/>
              </w:rPr>
              <w:t xml:space="preserve">(c) Taux moyen de réalisation des mesures d'atténuation définies </w:t>
            </w:r>
            <w:r w:rsidR="00923DF2" w:rsidRPr="00F55BDF">
              <w:rPr>
                <w:rFonts w:eastAsia="Times New Roman" w:cstheme="minorHAnsi"/>
                <w:i/>
                <w:iCs/>
                <w:color w:val="000000"/>
                <w:sz w:val="20"/>
                <w:szCs w:val="20"/>
                <w:lang w:eastAsia="fr-FR"/>
              </w:rPr>
              <w:t>dans les</w:t>
            </w:r>
            <w:r w:rsidR="004002FD" w:rsidRPr="00F55BDF">
              <w:rPr>
                <w:rFonts w:eastAsia="Times New Roman" w:cstheme="minorHAnsi"/>
                <w:i/>
                <w:iCs/>
                <w:color w:val="000000"/>
                <w:sz w:val="20"/>
                <w:szCs w:val="20"/>
                <w:lang w:eastAsia="fr-FR"/>
              </w:rPr>
              <w:t xml:space="preserve"> cahiers de charge </w:t>
            </w:r>
            <w:r w:rsidR="00923DF2" w:rsidRPr="00F55BDF">
              <w:rPr>
                <w:rFonts w:eastAsia="Times New Roman" w:cstheme="minorHAnsi"/>
                <w:i/>
                <w:iCs/>
                <w:color w:val="000000"/>
                <w:sz w:val="20"/>
                <w:szCs w:val="20"/>
                <w:lang w:eastAsia="fr-FR"/>
              </w:rPr>
              <w:t xml:space="preserve">des Etudes d’Impacts Environnementaux </w:t>
            </w:r>
            <w:r w:rsidR="004002FD" w:rsidRPr="00F55BDF">
              <w:rPr>
                <w:rFonts w:eastAsia="Times New Roman" w:cstheme="minorHAnsi"/>
                <w:i/>
                <w:iCs/>
                <w:color w:val="000000"/>
                <w:sz w:val="20"/>
                <w:szCs w:val="20"/>
                <w:lang w:eastAsia="fr-FR"/>
              </w:rPr>
              <w:t xml:space="preserve">(EIE) des </w:t>
            </w:r>
            <w:r w:rsidR="00520462" w:rsidRPr="00F55BDF">
              <w:rPr>
                <w:rFonts w:eastAsia="Times New Roman" w:cstheme="minorHAnsi"/>
                <w:i/>
                <w:iCs/>
                <w:color w:val="000000"/>
                <w:sz w:val="20"/>
                <w:szCs w:val="20"/>
                <w:lang w:eastAsia="fr-FR"/>
              </w:rPr>
              <w:t>investissements économiques</w:t>
            </w:r>
            <w:r w:rsidR="004002FD" w:rsidRPr="00F55BDF">
              <w:rPr>
                <w:rFonts w:eastAsia="Times New Roman" w:cstheme="minorHAnsi"/>
                <w:i/>
                <w:iCs/>
                <w:color w:val="000000"/>
                <w:sz w:val="20"/>
                <w:szCs w:val="20"/>
                <w:lang w:eastAsia="fr-FR"/>
              </w:rPr>
              <w:t xml:space="preserve"> à grande échelle (exploitation minière, pétrolière, infrastructures, énergie, agriculture)</w:t>
            </w:r>
          </w:p>
        </w:tc>
        <w:tc>
          <w:tcPr>
            <w:tcW w:w="915" w:type="pct"/>
            <w:tcBorders>
              <w:top w:val="nil"/>
              <w:left w:val="nil"/>
              <w:bottom w:val="single" w:sz="4" w:space="0" w:color="auto"/>
              <w:right w:val="single" w:sz="4" w:space="0" w:color="auto"/>
            </w:tcBorders>
            <w:shd w:val="clear" w:color="auto" w:fill="auto"/>
            <w:noWrap/>
            <w:vAlign w:val="center"/>
          </w:tcPr>
          <w:p w14:paraId="2B24BDEE" w14:textId="4A66F475" w:rsidR="00520462" w:rsidRPr="00F55BDF" w:rsidRDefault="00E436DC"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2020 : Consulting pour établir le Taux moyen de réalisation des mesures d'atténuation définies dans les cahiers de charge (EIE) des investissements économiques à grande échelle (exploitation minière, pétrolière, infrastructures, énergie, agriculture). </w:t>
            </w:r>
          </w:p>
          <w:p w14:paraId="1BD5F54E" w14:textId="09025B1E" w:rsidR="00056893" w:rsidRPr="00F55BDF" w:rsidRDefault="00056893" w:rsidP="004002FD">
            <w:pPr>
              <w:spacing w:after="0" w:line="240" w:lineRule="auto"/>
              <w:rPr>
                <w:rFonts w:eastAsia="Times New Roman" w:cstheme="minorHAnsi"/>
                <w:i/>
                <w:color w:val="000000"/>
                <w:sz w:val="20"/>
                <w:szCs w:val="20"/>
                <w:lang w:eastAsia="fr-FR"/>
              </w:rPr>
            </w:pPr>
          </w:p>
        </w:tc>
        <w:tc>
          <w:tcPr>
            <w:tcW w:w="961" w:type="pct"/>
            <w:tcBorders>
              <w:top w:val="nil"/>
              <w:left w:val="nil"/>
              <w:bottom w:val="single" w:sz="4" w:space="0" w:color="auto"/>
              <w:right w:val="single" w:sz="4" w:space="0" w:color="auto"/>
            </w:tcBorders>
            <w:shd w:val="clear" w:color="auto" w:fill="auto"/>
            <w:vAlign w:val="center"/>
          </w:tcPr>
          <w:p w14:paraId="1554DB32" w14:textId="0C9A63D7" w:rsidR="005A1CA8" w:rsidRPr="00F55BDF" w:rsidRDefault="005A1CA8"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2020 : taux moyen défini (EIE)</w:t>
            </w:r>
          </w:p>
          <w:p w14:paraId="23D13187" w14:textId="67D945BA" w:rsidR="00923DF2" w:rsidRPr="00F55BDF" w:rsidRDefault="00056893"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2022 : </w:t>
            </w:r>
            <w:r w:rsidR="00923DF2" w:rsidRPr="00F55BDF">
              <w:rPr>
                <w:rFonts w:eastAsia="Times New Roman" w:cstheme="minorHAnsi"/>
                <w:i/>
                <w:color w:val="000000"/>
                <w:sz w:val="20"/>
                <w:szCs w:val="20"/>
                <w:lang w:eastAsia="fr-FR"/>
              </w:rPr>
              <w:t>taux : 60%</w:t>
            </w:r>
          </w:p>
          <w:p w14:paraId="7B52F267" w14:textId="77777777" w:rsidR="00923DF2" w:rsidRPr="00F55BDF" w:rsidRDefault="00923DF2" w:rsidP="004002FD">
            <w:pPr>
              <w:spacing w:after="0" w:line="240" w:lineRule="auto"/>
              <w:rPr>
                <w:rFonts w:eastAsia="Times New Roman" w:cstheme="minorHAnsi"/>
                <w:i/>
                <w:color w:val="000000"/>
                <w:sz w:val="20"/>
                <w:szCs w:val="20"/>
                <w:lang w:eastAsia="fr-FR"/>
              </w:rPr>
            </w:pPr>
          </w:p>
          <w:p w14:paraId="7A3073CB" w14:textId="32D53E6B" w:rsidR="00056893" w:rsidRPr="00F55BDF" w:rsidRDefault="00056893" w:rsidP="004002FD">
            <w:pPr>
              <w:spacing w:after="0" w:line="240" w:lineRule="auto"/>
              <w:rPr>
                <w:rFonts w:eastAsia="Times New Roman" w:cstheme="minorHAnsi"/>
                <w:i/>
                <w:color w:val="000000"/>
                <w:sz w:val="20"/>
                <w:szCs w:val="20"/>
                <w:lang w:eastAsia="fr-FR"/>
              </w:rPr>
            </w:pPr>
          </w:p>
        </w:tc>
        <w:tc>
          <w:tcPr>
            <w:tcW w:w="841" w:type="pct"/>
            <w:tcBorders>
              <w:top w:val="single" w:sz="4" w:space="0" w:color="auto"/>
              <w:left w:val="nil"/>
              <w:bottom w:val="single" w:sz="4" w:space="0" w:color="auto"/>
              <w:right w:val="single" w:sz="4" w:space="0" w:color="auto"/>
            </w:tcBorders>
            <w:vAlign w:val="center"/>
          </w:tcPr>
          <w:p w14:paraId="583376EC" w14:textId="38B6E14E" w:rsidR="00923DF2" w:rsidRPr="00F55BDF" w:rsidRDefault="004D5EC9"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923DF2" w:rsidRPr="00F55BDF">
              <w:rPr>
                <w:rFonts w:eastAsia="Times New Roman" w:cstheme="minorHAnsi"/>
                <w:color w:val="000000"/>
                <w:sz w:val="20"/>
                <w:szCs w:val="20"/>
                <w:lang w:eastAsia="fr-FR"/>
              </w:rPr>
              <w:t xml:space="preserve">N/A : </w:t>
            </w:r>
          </w:p>
          <w:p w14:paraId="65FDB629" w14:textId="51421D8F" w:rsidR="00923DF2" w:rsidRPr="00F55BDF" w:rsidRDefault="00923DF2" w:rsidP="004002FD">
            <w:pPr>
              <w:spacing w:after="0" w:line="240" w:lineRule="auto"/>
              <w:rPr>
                <w:rFonts w:eastAsia="Times New Roman" w:cstheme="minorHAnsi"/>
                <w:color w:val="000000"/>
                <w:sz w:val="20"/>
                <w:szCs w:val="20"/>
                <w:lang w:eastAsia="fr-FR"/>
              </w:rPr>
            </w:pPr>
          </w:p>
          <w:p w14:paraId="7074C88B" w14:textId="589516FE" w:rsidR="00923DF2" w:rsidRPr="00F55BDF" w:rsidRDefault="00923DF2"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Explication : évaluation des taux à partir de 2020</w:t>
            </w:r>
            <w:r w:rsidR="00E436DC" w:rsidRPr="00F55BDF">
              <w:rPr>
                <w:rFonts w:eastAsia="Times New Roman" w:cstheme="minorHAnsi"/>
                <w:color w:val="000000"/>
                <w:sz w:val="20"/>
                <w:szCs w:val="20"/>
                <w:lang w:eastAsia="fr-FR"/>
              </w:rPr>
              <w:t xml:space="preserve"> selon le Plan de suivi du projet.</w:t>
            </w:r>
          </w:p>
          <w:p w14:paraId="6D4ACF14" w14:textId="77777777" w:rsidR="00923DF2" w:rsidRPr="00F55BDF" w:rsidRDefault="00923DF2" w:rsidP="004002FD">
            <w:pPr>
              <w:spacing w:after="0" w:line="240" w:lineRule="auto"/>
              <w:rPr>
                <w:rFonts w:eastAsia="Times New Roman" w:cstheme="minorHAnsi"/>
                <w:color w:val="000000"/>
                <w:sz w:val="20"/>
                <w:szCs w:val="20"/>
                <w:lang w:eastAsia="fr-FR"/>
              </w:rPr>
            </w:pPr>
          </w:p>
          <w:p w14:paraId="6E73FE77" w14:textId="3B972369" w:rsidR="00056893" w:rsidRPr="00F55BDF" w:rsidRDefault="00056893" w:rsidP="004002FD">
            <w:pPr>
              <w:spacing w:after="0" w:line="240" w:lineRule="auto"/>
              <w:rPr>
                <w:rFonts w:eastAsia="Times New Roman" w:cstheme="minorHAnsi"/>
                <w:color w:val="000000"/>
                <w:sz w:val="20"/>
                <w:szCs w:val="20"/>
                <w:lang w:eastAsia="fr-FR"/>
              </w:rPr>
            </w:pPr>
          </w:p>
        </w:tc>
        <w:tc>
          <w:tcPr>
            <w:tcW w:w="486" w:type="pct"/>
            <w:tcBorders>
              <w:top w:val="nil"/>
              <w:left w:val="nil"/>
              <w:bottom w:val="single" w:sz="4" w:space="0" w:color="auto"/>
              <w:right w:val="single" w:sz="4" w:space="0" w:color="auto"/>
            </w:tcBorders>
            <w:shd w:val="clear" w:color="auto" w:fill="auto"/>
            <w:noWrap/>
            <w:vAlign w:val="center"/>
          </w:tcPr>
          <w:p w14:paraId="7B9DDBB3" w14:textId="77777777" w:rsidR="00923DF2" w:rsidRPr="00F55BDF" w:rsidRDefault="00923DF2" w:rsidP="00923DF2">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Suivi des cahiers de charge</w:t>
            </w:r>
          </w:p>
          <w:p w14:paraId="669B623D" w14:textId="72025D95" w:rsidR="00056893" w:rsidRPr="00F55BDF" w:rsidRDefault="00923DF2" w:rsidP="00923DF2">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Consultation publique</w:t>
            </w:r>
          </w:p>
          <w:p w14:paraId="7214AF13" w14:textId="77777777" w:rsidR="00056893" w:rsidRPr="00F55BDF" w:rsidRDefault="00056893" w:rsidP="004002FD">
            <w:pPr>
              <w:spacing w:after="0" w:line="240" w:lineRule="auto"/>
              <w:rPr>
                <w:rFonts w:eastAsia="Times New Roman" w:cstheme="minorHAnsi"/>
                <w:color w:val="000000"/>
                <w:sz w:val="20"/>
                <w:szCs w:val="20"/>
                <w:lang w:eastAsia="fr-FR"/>
              </w:rPr>
            </w:pPr>
          </w:p>
        </w:tc>
        <w:tc>
          <w:tcPr>
            <w:tcW w:w="487" w:type="pct"/>
            <w:tcBorders>
              <w:top w:val="nil"/>
              <w:left w:val="nil"/>
              <w:bottom w:val="single" w:sz="4" w:space="0" w:color="auto"/>
              <w:right w:val="single" w:sz="4" w:space="0" w:color="auto"/>
            </w:tcBorders>
            <w:vAlign w:val="center"/>
          </w:tcPr>
          <w:p w14:paraId="1E8D61D8" w14:textId="1A1FE2F4" w:rsidR="00056893" w:rsidRPr="00F55BDF" w:rsidRDefault="00923DF2"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 de suivi environnemental des investissements</w:t>
            </w:r>
          </w:p>
        </w:tc>
      </w:tr>
      <w:tr w:rsidR="00056893" w:rsidRPr="00F55BDF" w14:paraId="4DE16432" w14:textId="77777777" w:rsidTr="00303D3F">
        <w:trPr>
          <w:trHeight w:val="1651"/>
        </w:trPr>
        <w:tc>
          <w:tcPr>
            <w:tcW w:w="487" w:type="pct"/>
            <w:vMerge/>
            <w:tcBorders>
              <w:left w:val="single" w:sz="4" w:space="0" w:color="auto"/>
              <w:right w:val="single" w:sz="4" w:space="0" w:color="auto"/>
            </w:tcBorders>
            <w:shd w:val="clear" w:color="auto" w:fill="auto"/>
            <w:vAlign w:val="center"/>
          </w:tcPr>
          <w:p w14:paraId="672A71CB" w14:textId="77777777" w:rsidR="00056893" w:rsidRPr="00F55BDF" w:rsidRDefault="00056893"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716E3043" w14:textId="48C4BB6E" w:rsidR="00921B1C"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4 : </w:t>
            </w:r>
            <w:r w:rsidR="00921B1C" w:rsidRPr="00F55BDF">
              <w:rPr>
                <w:rFonts w:eastAsia="Times New Roman" w:cstheme="minorHAnsi"/>
                <w:i/>
                <w:iCs/>
                <w:color w:val="000000"/>
                <w:sz w:val="20"/>
                <w:szCs w:val="20"/>
                <w:lang w:eastAsia="fr-FR"/>
              </w:rPr>
              <w:t xml:space="preserve">(d) : Nombre d’accords de coopération signés entre les entreprises privées et </w:t>
            </w:r>
            <w:proofErr w:type="gramStart"/>
            <w:r w:rsidR="00921B1C" w:rsidRPr="00F55BDF">
              <w:rPr>
                <w:rFonts w:eastAsia="Times New Roman" w:cstheme="minorHAnsi"/>
                <w:i/>
                <w:iCs/>
                <w:color w:val="000000"/>
                <w:sz w:val="20"/>
                <w:szCs w:val="20"/>
                <w:lang w:eastAsia="fr-FR"/>
              </w:rPr>
              <w:t>la</w:t>
            </w:r>
            <w:proofErr w:type="gramEnd"/>
            <w:r w:rsidR="00921B1C" w:rsidRPr="00F55BDF">
              <w:rPr>
                <w:rFonts w:eastAsia="Times New Roman" w:cstheme="minorHAnsi"/>
                <w:i/>
                <w:iCs/>
                <w:color w:val="000000"/>
                <w:sz w:val="20"/>
                <w:szCs w:val="20"/>
                <w:lang w:eastAsia="fr-FR"/>
              </w:rPr>
              <w:t xml:space="preserve"> DREDD/ONE qui contiennent des programmes aux fins de la mise en œuvre des mesures d’atténuation dans le cycle de projet (au-delà du contenu de l’EIE)</w:t>
            </w:r>
          </w:p>
          <w:p w14:paraId="1515ADA9" w14:textId="77777777" w:rsidR="00921B1C" w:rsidRPr="00F55BDF" w:rsidRDefault="00921B1C" w:rsidP="004002FD">
            <w:pPr>
              <w:spacing w:after="0" w:line="240" w:lineRule="auto"/>
              <w:rPr>
                <w:rFonts w:eastAsia="Times New Roman" w:cstheme="minorHAnsi"/>
                <w:i/>
                <w:iCs/>
                <w:color w:val="000000"/>
                <w:sz w:val="20"/>
                <w:szCs w:val="20"/>
                <w:lang w:eastAsia="fr-FR"/>
              </w:rPr>
            </w:pPr>
          </w:p>
          <w:p w14:paraId="625C5821" w14:textId="7E06F94B" w:rsidR="00056893" w:rsidRPr="00F55BDF" w:rsidRDefault="00056893" w:rsidP="004002FD">
            <w:pPr>
              <w:spacing w:after="0" w:line="240" w:lineRule="auto"/>
              <w:rPr>
                <w:rFonts w:eastAsia="Times New Roman" w:cstheme="minorHAnsi"/>
                <w:i/>
                <w:iCs/>
                <w:color w:val="000000"/>
                <w:sz w:val="20"/>
                <w:szCs w:val="20"/>
                <w:lang w:eastAsia="fr-FR"/>
              </w:rPr>
            </w:pPr>
          </w:p>
        </w:tc>
        <w:tc>
          <w:tcPr>
            <w:tcW w:w="915" w:type="pct"/>
            <w:tcBorders>
              <w:top w:val="nil"/>
              <w:left w:val="nil"/>
              <w:bottom w:val="single" w:sz="4" w:space="0" w:color="auto"/>
              <w:right w:val="single" w:sz="4" w:space="0" w:color="auto"/>
            </w:tcBorders>
            <w:shd w:val="clear" w:color="auto" w:fill="auto"/>
            <w:noWrap/>
            <w:vAlign w:val="center"/>
          </w:tcPr>
          <w:p w14:paraId="6E793E61" w14:textId="5369EA52" w:rsidR="00921B1C" w:rsidRPr="00F55BDF" w:rsidRDefault="00921B1C"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aucun accord de collaboration signé (entreprises privées – DREDD/ONE)</w:t>
            </w:r>
          </w:p>
          <w:p w14:paraId="34E16D26" w14:textId="77777777" w:rsidR="00921B1C" w:rsidRPr="00F55BDF" w:rsidRDefault="00921B1C" w:rsidP="004002FD">
            <w:pPr>
              <w:spacing w:after="0" w:line="240" w:lineRule="auto"/>
              <w:rPr>
                <w:rFonts w:eastAsia="Times New Roman" w:cstheme="minorHAnsi"/>
                <w:i/>
                <w:color w:val="000000"/>
                <w:sz w:val="20"/>
                <w:szCs w:val="20"/>
                <w:lang w:eastAsia="fr-FR"/>
              </w:rPr>
            </w:pPr>
          </w:p>
          <w:p w14:paraId="0BADCC99" w14:textId="5DEA40BC" w:rsidR="00056893" w:rsidRPr="00F55BDF" w:rsidRDefault="00056893" w:rsidP="004002FD">
            <w:pPr>
              <w:spacing w:after="0" w:line="240" w:lineRule="auto"/>
              <w:rPr>
                <w:rFonts w:eastAsia="Times New Roman" w:cstheme="minorHAnsi"/>
                <w:i/>
                <w:color w:val="000000"/>
                <w:sz w:val="20"/>
                <w:szCs w:val="20"/>
                <w:lang w:eastAsia="fr-FR"/>
              </w:rPr>
            </w:pPr>
          </w:p>
        </w:tc>
        <w:tc>
          <w:tcPr>
            <w:tcW w:w="961" w:type="pct"/>
            <w:tcBorders>
              <w:top w:val="nil"/>
              <w:left w:val="nil"/>
              <w:bottom w:val="single" w:sz="4" w:space="0" w:color="auto"/>
              <w:right w:val="single" w:sz="4" w:space="0" w:color="auto"/>
            </w:tcBorders>
            <w:shd w:val="clear" w:color="auto" w:fill="auto"/>
            <w:vAlign w:val="center"/>
          </w:tcPr>
          <w:p w14:paraId="0415EA5B" w14:textId="7C3F87BD" w:rsidR="005A1CA8" w:rsidRPr="00F55BDF" w:rsidRDefault="005A1CA8"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2020 : EES de la Région </w:t>
            </w:r>
            <w:proofErr w:type="spellStart"/>
            <w:r w:rsidRPr="00F55BDF">
              <w:rPr>
                <w:rFonts w:eastAsia="Times New Roman" w:cstheme="minorHAnsi"/>
                <w:i/>
                <w:color w:val="000000"/>
                <w:sz w:val="20"/>
                <w:szCs w:val="20"/>
                <w:lang w:eastAsia="fr-FR"/>
              </w:rPr>
              <w:t>Atsimo</w:t>
            </w:r>
            <w:proofErr w:type="spellEnd"/>
            <w:r w:rsidRPr="00F55BDF">
              <w:rPr>
                <w:rFonts w:eastAsia="Times New Roman" w:cstheme="minorHAnsi"/>
                <w:i/>
                <w:color w:val="000000"/>
                <w:sz w:val="20"/>
                <w:szCs w:val="20"/>
                <w:lang w:eastAsia="fr-FR"/>
              </w:rPr>
              <w:t xml:space="preserve"> </w:t>
            </w:r>
            <w:proofErr w:type="spellStart"/>
            <w:r w:rsidRPr="00F55BDF">
              <w:rPr>
                <w:rFonts w:eastAsia="Times New Roman" w:cstheme="minorHAnsi"/>
                <w:i/>
                <w:color w:val="000000"/>
                <w:sz w:val="20"/>
                <w:szCs w:val="20"/>
                <w:lang w:eastAsia="fr-FR"/>
              </w:rPr>
              <w:t>Andrefana</w:t>
            </w:r>
            <w:proofErr w:type="spellEnd"/>
            <w:r w:rsidRPr="00F55BDF">
              <w:rPr>
                <w:rFonts w:eastAsia="Times New Roman" w:cstheme="minorHAnsi"/>
                <w:i/>
                <w:color w:val="000000"/>
                <w:sz w:val="20"/>
                <w:szCs w:val="20"/>
                <w:lang w:eastAsia="fr-FR"/>
              </w:rPr>
              <w:t xml:space="preserve"> réalisée</w:t>
            </w:r>
          </w:p>
          <w:p w14:paraId="77AF0E90" w14:textId="64574C45" w:rsidR="00921B1C" w:rsidRPr="00F55BDF" w:rsidRDefault="00056893"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2022 : </w:t>
            </w:r>
            <w:r w:rsidR="00921B1C" w:rsidRPr="00F55BDF">
              <w:rPr>
                <w:rFonts w:eastAsia="Times New Roman" w:cstheme="minorHAnsi"/>
                <w:i/>
                <w:color w:val="000000"/>
                <w:sz w:val="20"/>
                <w:szCs w:val="20"/>
                <w:lang w:eastAsia="fr-FR"/>
              </w:rPr>
              <w:t>1 accord de coopération</w:t>
            </w:r>
          </w:p>
          <w:p w14:paraId="419B4E40" w14:textId="77777777" w:rsidR="00921B1C" w:rsidRPr="00F55BDF" w:rsidRDefault="00921B1C" w:rsidP="004002FD">
            <w:pPr>
              <w:spacing w:after="0" w:line="240" w:lineRule="auto"/>
              <w:rPr>
                <w:rFonts w:eastAsia="Times New Roman" w:cstheme="minorHAnsi"/>
                <w:i/>
                <w:color w:val="000000"/>
                <w:sz w:val="20"/>
                <w:szCs w:val="20"/>
                <w:lang w:eastAsia="fr-FR"/>
              </w:rPr>
            </w:pPr>
          </w:p>
          <w:p w14:paraId="258EBE8F" w14:textId="7EC24C5A" w:rsidR="00056893" w:rsidRPr="00F55BDF" w:rsidRDefault="00056893" w:rsidP="004002FD">
            <w:pPr>
              <w:spacing w:after="0" w:line="240" w:lineRule="auto"/>
              <w:rPr>
                <w:rFonts w:eastAsia="Times New Roman" w:cstheme="minorHAnsi"/>
                <w:i/>
                <w:color w:val="000000"/>
                <w:sz w:val="20"/>
                <w:szCs w:val="20"/>
                <w:lang w:eastAsia="fr-FR"/>
              </w:rPr>
            </w:pPr>
          </w:p>
        </w:tc>
        <w:tc>
          <w:tcPr>
            <w:tcW w:w="841" w:type="pct"/>
            <w:tcBorders>
              <w:top w:val="single" w:sz="4" w:space="0" w:color="auto"/>
              <w:left w:val="nil"/>
              <w:bottom w:val="single" w:sz="4" w:space="0" w:color="auto"/>
              <w:right w:val="single" w:sz="4" w:space="0" w:color="auto"/>
            </w:tcBorders>
            <w:vAlign w:val="center"/>
          </w:tcPr>
          <w:p w14:paraId="780F58DE" w14:textId="77777777" w:rsidR="00921B1C" w:rsidRPr="00F55BDF" w:rsidRDefault="00921B1C" w:rsidP="004002FD">
            <w:pPr>
              <w:spacing w:after="0" w:line="240" w:lineRule="auto"/>
              <w:rPr>
                <w:rFonts w:eastAsia="Times New Roman" w:cstheme="minorHAnsi"/>
                <w:color w:val="000000"/>
                <w:sz w:val="20"/>
                <w:szCs w:val="20"/>
                <w:lang w:eastAsia="fr-FR"/>
              </w:rPr>
            </w:pPr>
          </w:p>
          <w:p w14:paraId="5BFA834E" w14:textId="2381FB8E" w:rsidR="00B7128D" w:rsidRPr="00F55BDF" w:rsidRDefault="00B7128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4D5EC9" w:rsidRPr="00F55BDF">
              <w:rPr>
                <w:rFonts w:eastAsia="Times New Roman" w:cstheme="minorHAnsi"/>
                <w:color w:val="000000"/>
                <w:sz w:val="20"/>
                <w:szCs w:val="20"/>
                <w:lang w:eastAsia="fr-FR"/>
              </w:rPr>
              <w:t xml:space="preserve">N/A </w:t>
            </w:r>
          </w:p>
          <w:p w14:paraId="4C9C4303" w14:textId="21C3AE6C" w:rsidR="004D5EC9" w:rsidRPr="00F55BDF" w:rsidRDefault="004D5EC9" w:rsidP="004002FD">
            <w:pPr>
              <w:spacing w:after="0" w:line="240" w:lineRule="auto"/>
              <w:rPr>
                <w:rFonts w:eastAsia="Times New Roman" w:cstheme="minorHAnsi"/>
                <w:color w:val="000000"/>
                <w:sz w:val="20"/>
                <w:szCs w:val="20"/>
                <w:lang w:eastAsia="fr-FR"/>
              </w:rPr>
            </w:pPr>
          </w:p>
          <w:p w14:paraId="70313788" w14:textId="12F74315" w:rsidR="00056893" w:rsidRPr="00F55BDF" w:rsidRDefault="004D5EC9" w:rsidP="00303D3F">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Explication : </w:t>
            </w:r>
            <w:r w:rsidR="00303D3F" w:rsidRPr="00F55BDF">
              <w:rPr>
                <w:rFonts w:eastAsia="Times New Roman" w:cstheme="minorHAnsi"/>
                <w:color w:val="000000"/>
                <w:sz w:val="20"/>
                <w:szCs w:val="20"/>
                <w:lang w:eastAsia="fr-FR"/>
              </w:rPr>
              <w:t>la réalisation de l’</w:t>
            </w:r>
            <w:r w:rsidRPr="00F55BDF">
              <w:rPr>
                <w:rFonts w:eastAsia="Times New Roman" w:cstheme="minorHAnsi"/>
                <w:color w:val="000000"/>
                <w:sz w:val="20"/>
                <w:szCs w:val="20"/>
                <w:lang w:eastAsia="fr-FR"/>
              </w:rPr>
              <w:t xml:space="preserve">’EES régional est planifié </w:t>
            </w:r>
            <w:r w:rsidR="00303D3F" w:rsidRPr="00F55BDF">
              <w:rPr>
                <w:rFonts w:eastAsia="Times New Roman" w:cstheme="minorHAnsi"/>
                <w:color w:val="000000"/>
                <w:sz w:val="20"/>
                <w:szCs w:val="20"/>
                <w:lang w:eastAsia="fr-FR"/>
              </w:rPr>
              <w:t>pour 2020. Les résultats de cette évaluation qui permettent d’identifier les entreprises privées potentielles pour la signature d’au moins un accord.</w:t>
            </w:r>
          </w:p>
        </w:tc>
        <w:tc>
          <w:tcPr>
            <w:tcW w:w="486" w:type="pct"/>
            <w:tcBorders>
              <w:top w:val="nil"/>
              <w:left w:val="nil"/>
              <w:bottom w:val="single" w:sz="4" w:space="0" w:color="auto"/>
              <w:right w:val="single" w:sz="4" w:space="0" w:color="auto"/>
            </w:tcBorders>
            <w:shd w:val="clear" w:color="auto" w:fill="auto"/>
            <w:noWrap/>
            <w:vAlign w:val="center"/>
          </w:tcPr>
          <w:p w14:paraId="2B2C5677" w14:textId="51A8ADF8" w:rsidR="00056893" w:rsidRPr="00F55BDF" w:rsidRDefault="00921B1C"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Consultation des accords</w:t>
            </w:r>
          </w:p>
        </w:tc>
        <w:tc>
          <w:tcPr>
            <w:tcW w:w="487" w:type="pct"/>
            <w:tcBorders>
              <w:top w:val="nil"/>
              <w:left w:val="nil"/>
              <w:bottom w:val="single" w:sz="4" w:space="0" w:color="auto"/>
              <w:right w:val="single" w:sz="4" w:space="0" w:color="auto"/>
            </w:tcBorders>
            <w:vAlign w:val="center"/>
          </w:tcPr>
          <w:p w14:paraId="5EFDE906" w14:textId="0EAE278A" w:rsidR="00056893" w:rsidRPr="00F55BDF" w:rsidRDefault="00921B1C"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Accord de partenariat entre le secteur conservation et développement</w:t>
            </w:r>
          </w:p>
        </w:tc>
      </w:tr>
      <w:tr w:rsidR="00056893" w:rsidRPr="00F55BDF" w14:paraId="1FBCA5D2" w14:textId="77777777" w:rsidTr="00303D3F">
        <w:trPr>
          <w:trHeight w:val="421"/>
        </w:trPr>
        <w:tc>
          <w:tcPr>
            <w:tcW w:w="487" w:type="pct"/>
            <w:vMerge/>
            <w:tcBorders>
              <w:left w:val="single" w:sz="4" w:space="0" w:color="auto"/>
              <w:bottom w:val="single" w:sz="4" w:space="0" w:color="auto"/>
              <w:right w:val="single" w:sz="4" w:space="0" w:color="auto"/>
            </w:tcBorders>
            <w:shd w:val="clear" w:color="auto" w:fill="auto"/>
            <w:vAlign w:val="center"/>
          </w:tcPr>
          <w:p w14:paraId="5ACDA3E9" w14:textId="77777777" w:rsidR="00056893" w:rsidRPr="00F55BDF" w:rsidRDefault="00056893"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24E1C15D" w14:textId="2D70DD65" w:rsidR="00921B1C"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5 : </w:t>
            </w:r>
            <w:r w:rsidR="00921B1C" w:rsidRPr="00F55BDF">
              <w:rPr>
                <w:rFonts w:eastAsia="Times New Roman" w:cstheme="minorHAnsi"/>
                <w:i/>
                <w:iCs/>
                <w:color w:val="000000"/>
                <w:sz w:val="20"/>
                <w:szCs w:val="20"/>
                <w:lang w:eastAsia="fr-FR"/>
              </w:rPr>
              <w:t>(e</w:t>
            </w:r>
            <w:proofErr w:type="gramStart"/>
            <w:r w:rsidR="00921B1C" w:rsidRPr="00F55BDF">
              <w:rPr>
                <w:rFonts w:eastAsia="Times New Roman" w:cstheme="minorHAnsi"/>
                <w:i/>
                <w:iCs/>
                <w:color w:val="000000"/>
                <w:sz w:val="20"/>
                <w:szCs w:val="20"/>
                <w:lang w:eastAsia="fr-FR"/>
              </w:rPr>
              <w:t>):</w:t>
            </w:r>
            <w:proofErr w:type="gramEnd"/>
            <w:r w:rsidR="00921B1C" w:rsidRPr="00F55BDF">
              <w:rPr>
                <w:rFonts w:eastAsia="Times New Roman" w:cstheme="minorHAnsi"/>
                <w:i/>
                <w:iCs/>
                <w:color w:val="000000"/>
                <w:sz w:val="20"/>
                <w:szCs w:val="20"/>
                <w:lang w:eastAsia="fr-FR"/>
              </w:rPr>
              <w:t xml:space="preserve"> Existence d'un programme pilote de partenariat Public-Privé pour une gestion améliorée des menaces</w:t>
            </w:r>
          </w:p>
          <w:p w14:paraId="0A909B0A" w14:textId="77777777" w:rsidR="00921B1C" w:rsidRPr="00F55BDF" w:rsidRDefault="00921B1C" w:rsidP="004002FD">
            <w:pPr>
              <w:spacing w:after="0" w:line="240" w:lineRule="auto"/>
              <w:rPr>
                <w:rFonts w:eastAsia="Times New Roman" w:cstheme="minorHAnsi"/>
                <w:i/>
                <w:iCs/>
                <w:color w:val="000000"/>
                <w:sz w:val="20"/>
                <w:szCs w:val="20"/>
                <w:lang w:eastAsia="fr-FR"/>
              </w:rPr>
            </w:pPr>
          </w:p>
          <w:p w14:paraId="3B71389D" w14:textId="77777777" w:rsidR="00921B1C" w:rsidRPr="00F55BDF" w:rsidRDefault="00921B1C" w:rsidP="004002FD">
            <w:pPr>
              <w:spacing w:after="0" w:line="240" w:lineRule="auto"/>
              <w:rPr>
                <w:rFonts w:eastAsia="Times New Roman" w:cstheme="minorHAnsi"/>
                <w:i/>
                <w:iCs/>
                <w:color w:val="000000"/>
                <w:sz w:val="20"/>
                <w:szCs w:val="20"/>
                <w:lang w:eastAsia="fr-FR"/>
              </w:rPr>
            </w:pPr>
          </w:p>
          <w:p w14:paraId="1E160201" w14:textId="0A46399F" w:rsidR="00056893" w:rsidRPr="00F55BDF" w:rsidRDefault="00056893" w:rsidP="004002FD">
            <w:pPr>
              <w:spacing w:after="0" w:line="240" w:lineRule="auto"/>
              <w:rPr>
                <w:rFonts w:eastAsia="Times New Roman" w:cstheme="minorHAnsi"/>
                <w:i/>
                <w:iCs/>
                <w:color w:val="000000"/>
                <w:sz w:val="20"/>
                <w:szCs w:val="20"/>
                <w:lang w:eastAsia="fr-FR"/>
              </w:rPr>
            </w:pPr>
          </w:p>
        </w:tc>
        <w:tc>
          <w:tcPr>
            <w:tcW w:w="915" w:type="pct"/>
            <w:tcBorders>
              <w:top w:val="nil"/>
              <w:left w:val="nil"/>
              <w:bottom w:val="single" w:sz="4" w:space="0" w:color="auto"/>
              <w:right w:val="single" w:sz="4" w:space="0" w:color="auto"/>
            </w:tcBorders>
            <w:shd w:val="clear" w:color="auto" w:fill="auto"/>
            <w:noWrap/>
            <w:vAlign w:val="center"/>
          </w:tcPr>
          <w:p w14:paraId="0E16CA5C" w14:textId="36E1A12A" w:rsidR="00921B1C" w:rsidRPr="00F55BDF" w:rsidRDefault="005E103D"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Non</w:t>
            </w:r>
          </w:p>
          <w:p w14:paraId="2B9EC622" w14:textId="77777777" w:rsidR="00921B1C" w:rsidRPr="00F55BDF" w:rsidRDefault="00921B1C" w:rsidP="004002FD">
            <w:pPr>
              <w:spacing w:after="0" w:line="240" w:lineRule="auto"/>
              <w:rPr>
                <w:rFonts w:eastAsia="Times New Roman" w:cstheme="minorHAnsi"/>
                <w:i/>
                <w:color w:val="000000"/>
                <w:sz w:val="20"/>
                <w:szCs w:val="20"/>
                <w:lang w:eastAsia="fr-FR"/>
              </w:rPr>
            </w:pPr>
          </w:p>
          <w:p w14:paraId="4D57AA78" w14:textId="0F06931B" w:rsidR="00056893" w:rsidRPr="00F55BDF" w:rsidRDefault="00056893" w:rsidP="004002FD">
            <w:pPr>
              <w:spacing w:after="0" w:line="240" w:lineRule="auto"/>
              <w:rPr>
                <w:rFonts w:eastAsia="Times New Roman" w:cstheme="minorHAnsi"/>
                <w:i/>
                <w:color w:val="000000"/>
                <w:sz w:val="20"/>
                <w:szCs w:val="20"/>
                <w:lang w:eastAsia="fr-FR"/>
              </w:rPr>
            </w:pPr>
          </w:p>
        </w:tc>
        <w:tc>
          <w:tcPr>
            <w:tcW w:w="961" w:type="pct"/>
            <w:tcBorders>
              <w:top w:val="nil"/>
              <w:left w:val="nil"/>
              <w:bottom w:val="single" w:sz="4" w:space="0" w:color="auto"/>
              <w:right w:val="single" w:sz="4" w:space="0" w:color="auto"/>
            </w:tcBorders>
            <w:shd w:val="clear" w:color="auto" w:fill="auto"/>
            <w:vAlign w:val="center"/>
          </w:tcPr>
          <w:p w14:paraId="52165DEA" w14:textId="38C3D9FB" w:rsidR="004D5EC9" w:rsidRPr="00F55BDF" w:rsidRDefault="004D5EC9"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 1 partenariat signé DREDD / société minière privée</w:t>
            </w:r>
          </w:p>
          <w:p w14:paraId="6633531F" w14:textId="2D0D0952" w:rsidR="005E103D" w:rsidRPr="00F55BDF" w:rsidRDefault="005E103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2022 : oui</w:t>
            </w:r>
          </w:p>
          <w:p w14:paraId="169EB40A" w14:textId="08F08AB9" w:rsidR="00056893" w:rsidRPr="00F55BDF" w:rsidRDefault="00056893" w:rsidP="004002FD">
            <w:pPr>
              <w:spacing w:after="0" w:line="240" w:lineRule="auto"/>
              <w:rPr>
                <w:rFonts w:eastAsia="Times New Roman" w:cstheme="minorHAnsi"/>
                <w:color w:val="000000"/>
                <w:sz w:val="20"/>
                <w:szCs w:val="20"/>
                <w:lang w:eastAsia="fr-FR"/>
              </w:rPr>
            </w:pPr>
          </w:p>
        </w:tc>
        <w:tc>
          <w:tcPr>
            <w:tcW w:w="841" w:type="pct"/>
            <w:tcBorders>
              <w:top w:val="single" w:sz="4" w:space="0" w:color="auto"/>
              <w:left w:val="nil"/>
              <w:bottom w:val="single" w:sz="4" w:space="0" w:color="auto"/>
              <w:right w:val="single" w:sz="4" w:space="0" w:color="auto"/>
            </w:tcBorders>
            <w:vAlign w:val="center"/>
          </w:tcPr>
          <w:p w14:paraId="3C7A028F" w14:textId="0C5C2B64" w:rsidR="004D5EC9" w:rsidRPr="00F55BDF" w:rsidRDefault="004D5EC9"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 Non</w:t>
            </w:r>
          </w:p>
          <w:p w14:paraId="616D93A9" w14:textId="75A455BC" w:rsidR="00056893" w:rsidRPr="00F55BDF" w:rsidRDefault="004D5EC9"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Etapes réalisées : BASE Toliara (ex Toliara Sands) : identifiée, comme la société privée à passer un accord. Explication : la signature de l’accord est reportée à cause des troubles sociales entre cette Société et les populations riveraines. Au mois de novembre 2019, l’Etat malagasy a suspendu l’activité de Base Toliara pour une </w:t>
            </w:r>
            <w:r w:rsidRPr="00F55BDF">
              <w:rPr>
                <w:rFonts w:eastAsia="Times New Roman" w:cstheme="minorHAnsi"/>
                <w:color w:val="000000"/>
                <w:sz w:val="20"/>
                <w:szCs w:val="20"/>
                <w:lang w:eastAsia="fr-FR"/>
              </w:rPr>
              <w:lastRenderedPageBreak/>
              <w:t>éventuelle renégociation des closes.</w:t>
            </w:r>
          </w:p>
        </w:tc>
        <w:tc>
          <w:tcPr>
            <w:tcW w:w="486" w:type="pct"/>
            <w:tcBorders>
              <w:top w:val="nil"/>
              <w:left w:val="nil"/>
              <w:bottom w:val="single" w:sz="4" w:space="0" w:color="auto"/>
              <w:right w:val="single" w:sz="4" w:space="0" w:color="auto"/>
            </w:tcBorders>
            <w:shd w:val="clear" w:color="auto" w:fill="auto"/>
            <w:noWrap/>
            <w:vAlign w:val="center"/>
          </w:tcPr>
          <w:p w14:paraId="66AE7E55" w14:textId="77777777"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lastRenderedPageBreak/>
              <w:t>Consultation de la convention</w:t>
            </w:r>
          </w:p>
          <w:p w14:paraId="4F3179CA" w14:textId="77777777"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Vérification des rapports</w:t>
            </w:r>
          </w:p>
          <w:p w14:paraId="43C6A4CB" w14:textId="381A1E57" w:rsidR="00056893"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Mission de suivi sur terrain et entretien avec les acteurs</w:t>
            </w:r>
          </w:p>
        </w:tc>
        <w:tc>
          <w:tcPr>
            <w:tcW w:w="487" w:type="pct"/>
            <w:tcBorders>
              <w:top w:val="nil"/>
              <w:left w:val="nil"/>
              <w:bottom w:val="single" w:sz="4" w:space="0" w:color="auto"/>
              <w:right w:val="single" w:sz="4" w:space="0" w:color="auto"/>
            </w:tcBorders>
            <w:vAlign w:val="center"/>
          </w:tcPr>
          <w:p w14:paraId="1786D2CA" w14:textId="6641EA49"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Convention de partenariat DRE</w:t>
            </w:r>
            <w:r w:rsidR="004D5EC9" w:rsidRPr="00F55BDF">
              <w:rPr>
                <w:rFonts w:eastAsia="Times New Roman" w:cstheme="minorHAnsi"/>
                <w:color w:val="000000"/>
                <w:sz w:val="20"/>
                <w:szCs w:val="20"/>
                <w:lang w:eastAsia="fr-FR"/>
              </w:rPr>
              <w:t>DD</w:t>
            </w:r>
            <w:r w:rsidRPr="00F55BDF">
              <w:rPr>
                <w:rFonts w:eastAsia="Times New Roman" w:cstheme="minorHAnsi"/>
                <w:color w:val="000000"/>
                <w:sz w:val="20"/>
                <w:szCs w:val="20"/>
                <w:lang w:eastAsia="fr-FR"/>
              </w:rPr>
              <w:t>- Entreprise privée</w:t>
            </w:r>
          </w:p>
          <w:p w14:paraId="36ACD6E3" w14:textId="2A514615" w:rsidR="00056893"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 annuel du projet</w:t>
            </w:r>
          </w:p>
        </w:tc>
      </w:tr>
      <w:tr w:rsidR="005E103D" w:rsidRPr="00F55BDF" w14:paraId="211B2D95" w14:textId="77777777" w:rsidTr="00303D3F">
        <w:trPr>
          <w:trHeight w:val="1651"/>
        </w:trPr>
        <w:tc>
          <w:tcPr>
            <w:tcW w:w="487" w:type="pct"/>
            <w:tcBorders>
              <w:left w:val="single" w:sz="4" w:space="0" w:color="auto"/>
              <w:bottom w:val="single" w:sz="4" w:space="0" w:color="auto"/>
              <w:right w:val="single" w:sz="4" w:space="0" w:color="auto"/>
            </w:tcBorders>
            <w:shd w:val="clear" w:color="auto" w:fill="auto"/>
            <w:vAlign w:val="center"/>
          </w:tcPr>
          <w:p w14:paraId="4877082D" w14:textId="77777777" w:rsidR="005E103D" w:rsidRPr="00F55BDF" w:rsidRDefault="005E103D"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198170FB" w14:textId="3C459486" w:rsidR="005E103D" w:rsidRPr="00F55BDF" w:rsidRDefault="005E103D"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6 : (f) Nombre de stratégies et politiques proposées pour rendre la gestion de la biodiversité et du paysage efficace (proposition de lois/politique sectorielle, Evaluation Environnementale Stratégique Régionale (EESR), ...)</w:t>
            </w:r>
          </w:p>
        </w:tc>
        <w:tc>
          <w:tcPr>
            <w:tcW w:w="915" w:type="pct"/>
            <w:tcBorders>
              <w:top w:val="nil"/>
              <w:left w:val="nil"/>
              <w:bottom w:val="single" w:sz="4" w:space="0" w:color="auto"/>
              <w:right w:val="single" w:sz="4" w:space="0" w:color="auto"/>
            </w:tcBorders>
            <w:shd w:val="clear" w:color="auto" w:fill="auto"/>
            <w:noWrap/>
            <w:vAlign w:val="center"/>
          </w:tcPr>
          <w:p w14:paraId="15D7FD5E" w14:textId="5124408A" w:rsidR="005E103D" w:rsidRPr="00F55BDF" w:rsidRDefault="005E103D"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1</w:t>
            </w:r>
            <w:r w:rsidR="00ED59AA" w:rsidRPr="00F55BDF">
              <w:rPr>
                <w:rFonts w:eastAsia="Times New Roman" w:cstheme="minorHAnsi"/>
                <w:i/>
                <w:color w:val="000000"/>
                <w:sz w:val="20"/>
                <w:szCs w:val="20"/>
                <w:lang w:eastAsia="fr-FR"/>
              </w:rPr>
              <w:t xml:space="preserve"> (1 document EES du Paysage </w:t>
            </w:r>
            <w:proofErr w:type="spellStart"/>
            <w:r w:rsidR="00ED59AA" w:rsidRPr="00F55BDF">
              <w:rPr>
                <w:rFonts w:eastAsia="Times New Roman" w:cstheme="minorHAnsi"/>
                <w:i/>
                <w:color w:val="000000"/>
                <w:sz w:val="20"/>
                <w:szCs w:val="20"/>
                <w:lang w:eastAsia="fr-FR"/>
              </w:rPr>
              <w:t>Mahafaly</w:t>
            </w:r>
            <w:proofErr w:type="spellEnd"/>
            <w:r w:rsidR="00ED59AA" w:rsidRPr="00F55BDF">
              <w:rPr>
                <w:rFonts w:eastAsia="Times New Roman" w:cstheme="minorHAnsi"/>
                <w:i/>
                <w:color w:val="000000"/>
                <w:sz w:val="20"/>
                <w:szCs w:val="20"/>
                <w:lang w:eastAsia="fr-FR"/>
              </w:rPr>
              <w:t>. Une partie des Paysages de l’</w:t>
            </w:r>
            <w:proofErr w:type="spellStart"/>
            <w:r w:rsidR="00ED59AA" w:rsidRPr="00F55BDF">
              <w:rPr>
                <w:rFonts w:eastAsia="Times New Roman" w:cstheme="minorHAnsi"/>
                <w:i/>
                <w:color w:val="000000"/>
                <w:sz w:val="20"/>
                <w:szCs w:val="20"/>
                <w:lang w:eastAsia="fr-FR"/>
              </w:rPr>
              <w:t>Atsimo</w:t>
            </w:r>
            <w:proofErr w:type="spellEnd"/>
            <w:r w:rsidR="00ED59AA" w:rsidRPr="00F55BDF">
              <w:rPr>
                <w:rFonts w:eastAsia="Times New Roman" w:cstheme="minorHAnsi"/>
                <w:i/>
                <w:color w:val="000000"/>
                <w:sz w:val="20"/>
                <w:szCs w:val="20"/>
                <w:lang w:eastAsia="fr-FR"/>
              </w:rPr>
              <w:t xml:space="preserve"> </w:t>
            </w:r>
            <w:proofErr w:type="spellStart"/>
            <w:r w:rsidR="00ED59AA" w:rsidRPr="00F55BDF">
              <w:rPr>
                <w:rFonts w:eastAsia="Times New Roman" w:cstheme="minorHAnsi"/>
                <w:i/>
                <w:color w:val="000000"/>
                <w:sz w:val="20"/>
                <w:szCs w:val="20"/>
                <w:lang w:eastAsia="fr-FR"/>
              </w:rPr>
              <w:t>Andrefana</w:t>
            </w:r>
            <w:proofErr w:type="spellEnd"/>
            <w:r w:rsidR="00ED59AA" w:rsidRPr="00F55BDF">
              <w:rPr>
                <w:rFonts w:eastAsia="Times New Roman" w:cstheme="minorHAnsi"/>
                <w:i/>
                <w:color w:val="000000"/>
                <w:sz w:val="20"/>
                <w:szCs w:val="20"/>
                <w:lang w:eastAsia="fr-FR"/>
              </w:rPr>
              <w:t>)</w:t>
            </w:r>
          </w:p>
        </w:tc>
        <w:tc>
          <w:tcPr>
            <w:tcW w:w="961" w:type="pct"/>
            <w:tcBorders>
              <w:top w:val="nil"/>
              <w:left w:val="nil"/>
              <w:bottom w:val="single" w:sz="4" w:space="0" w:color="auto"/>
              <w:right w:val="single" w:sz="4" w:space="0" w:color="auto"/>
            </w:tcBorders>
            <w:shd w:val="clear" w:color="auto" w:fill="auto"/>
            <w:vAlign w:val="center"/>
          </w:tcPr>
          <w:p w14:paraId="4B7D31F3" w14:textId="77777777" w:rsidR="009461EC" w:rsidRPr="00F55BDF" w:rsidRDefault="009461EC" w:rsidP="004002FD">
            <w:pPr>
              <w:spacing w:after="0" w:line="240" w:lineRule="auto"/>
              <w:rPr>
                <w:rFonts w:eastAsia="Times New Roman" w:cstheme="minorHAnsi"/>
                <w:color w:val="000000"/>
                <w:sz w:val="20"/>
                <w:szCs w:val="20"/>
                <w:lang w:eastAsia="fr-FR"/>
              </w:rPr>
            </w:pPr>
          </w:p>
          <w:p w14:paraId="0DFBB5E4" w14:textId="0D5A0634" w:rsidR="009461EC" w:rsidRPr="00F55BDF" w:rsidRDefault="009461EC"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AA0595" w:rsidRPr="00F55BDF">
              <w:rPr>
                <w:rFonts w:eastAsia="Times New Roman" w:cstheme="minorHAnsi"/>
                <w:color w:val="000000"/>
                <w:sz w:val="20"/>
                <w:szCs w:val="20"/>
                <w:lang w:eastAsia="fr-FR"/>
              </w:rPr>
              <w:t xml:space="preserve">Une analyse et </w:t>
            </w:r>
            <w:r w:rsidRPr="00F55BDF">
              <w:rPr>
                <w:rFonts w:eastAsia="Times New Roman" w:cstheme="minorHAnsi"/>
                <w:color w:val="000000"/>
                <w:sz w:val="20"/>
                <w:szCs w:val="20"/>
                <w:lang w:eastAsia="fr-FR"/>
              </w:rPr>
              <w:t xml:space="preserve">proposition de </w:t>
            </w:r>
            <w:r w:rsidR="00AA0595" w:rsidRPr="00F55BDF">
              <w:rPr>
                <w:rFonts w:eastAsia="Times New Roman" w:cstheme="minorHAnsi"/>
                <w:color w:val="000000"/>
                <w:sz w:val="20"/>
                <w:szCs w:val="20"/>
                <w:lang w:eastAsia="fr-FR"/>
              </w:rPr>
              <w:t xml:space="preserve">révision de lois /textes environnementales validées par la CER </w:t>
            </w:r>
          </w:p>
          <w:p w14:paraId="1EC15351" w14:textId="7D319246" w:rsidR="005A1CA8" w:rsidRPr="00F55BDF" w:rsidRDefault="005A1CA8"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AA0595" w:rsidRPr="00F55BDF">
              <w:rPr>
                <w:rFonts w:eastAsia="Times New Roman" w:cstheme="minorHAnsi"/>
                <w:color w:val="000000"/>
                <w:sz w:val="20"/>
                <w:szCs w:val="20"/>
                <w:lang w:eastAsia="fr-FR"/>
              </w:rPr>
              <w:t xml:space="preserve">01 </w:t>
            </w:r>
            <w:r w:rsidR="00E02D9F" w:rsidRPr="00F55BDF">
              <w:rPr>
                <w:rFonts w:eastAsia="Times New Roman" w:cstheme="minorHAnsi"/>
                <w:color w:val="000000"/>
                <w:sz w:val="20"/>
                <w:szCs w:val="20"/>
                <w:lang w:eastAsia="fr-FR"/>
              </w:rPr>
              <w:t>TDR et méthodologie de l’EES validé par la CER.</w:t>
            </w:r>
          </w:p>
          <w:p w14:paraId="3B30439C" w14:textId="658D3826" w:rsidR="00E02D9F" w:rsidRPr="00F55BDF" w:rsidRDefault="00E02D9F"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2020 : </w:t>
            </w:r>
            <w:r w:rsidR="00AA0595" w:rsidRPr="00F55BDF">
              <w:rPr>
                <w:rFonts w:eastAsia="Times New Roman" w:cstheme="minorHAnsi"/>
                <w:color w:val="000000"/>
                <w:sz w:val="20"/>
                <w:szCs w:val="20"/>
                <w:lang w:eastAsia="fr-FR"/>
              </w:rPr>
              <w:t xml:space="preserve">01 </w:t>
            </w:r>
            <w:r w:rsidRPr="00F55BDF">
              <w:rPr>
                <w:rFonts w:eastAsia="Times New Roman" w:cstheme="minorHAnsi"/>
                <w:color w:val="000000"/>
                <w:sz w:val="20"/>
                <w:szCs w:val="20"/>
                <w:lang w:eastAsia="fr-FR"/>
              </w:rPr>
              <w:t xml:space="preserve">EES de la Région </w:t>
            </w:r>
            <w:proofErr w:type="spellStart"/>
            <w:r w:rsidRPr="00F55BDF">
              <w:rPr>
                <w:rFonts w:eastAsia="Times New Roman" w:cstheme="minorHAnsi"/>
                <w:color w:val="000000"/>
                <w:sz w:val="20"/>
                <w:szCs w:val="20"/>
                <w:lang w:eastAsia="fr-FR"/>
              </w:rPr>
              <w:t>Atsimo</w:t>
            </w:r>
            <w:proofErr w:type="spellEnd"/>
            <w:r w:rsidRPr="00F55BDF">
              <w:rPr>
                <w:rFonts w:eastAsia="Times New Roman" w:cstheme="minorHAnsi"/>
                <w:color w:val="000000"/>
                <w:sz w:val="20"/>
                <w:szCs w:val="20"/>
                <w:lang w:eastAsia="fr-FR"/>
              </w:rPr>
              <w:t xml:space="preserve"> </w:t>
            </w:r>
            <w:proofErr w:type="spellStart"/>
            <w:r w:rsidRPr="00F55BDF">
              <w:rPr>
                <w:rFonts w:eastAsia="Times New Roman" w:cstheme="minorHAnsi"/>
                <w:color w:val="000000"/>
                <w:sz w:val="20"/>
                <w:szCs w:val="20"/>
                <w:lang w:eastAsia="fr-FR"/>
              </w:rPr>
              <w:t>Andrefana</w:t>
            </w:r>
            <w:proofErr w:type="spellEnd"/>
            <w:r w:rsidRPr="00F55BDF">
              <w:rPr>
                <w:rFonts w:eastAsia="Times New Roman" w:cstheme="minorHAnsi"/>
                <w:color w:val="000000"/>
                <w:sz w:val="20"/>
                <w:szCs w:val="20"/>
                <w:lang w:eastAsia="fr-FR"/>
              </w:rPr>
              <w:t xml:space="preserve"> élaboré</w:t>
            </w:r>
          </w:p>
          <w:p w14:paraId="1A1FAAC2" w14:textId="7F84A52B" w:rsidR="005E103D" w:rsidRPr="00F55BDF" w:rsidRDefault="005E103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2022 : 6 stratégies/politiques</w:t>
            </w:r>
          </w:p>
        </w:tc>
        <w:tc>
          <w:tcPr>
            <w:tcW w:w="841" w:type="pct"/>
            <w:tcBorders>
              <w:top w:val="single" w:sz="4" w:space="0" w:color="auto"/>
              <w:left w:val="nil"/>
              <w:bottom w:val="single" w:sz="4" w:space="0" w:color="auto"/>
              <w:right w:val="single" w:sz="4" w:space="0" w:color="auto"/>
            </w:tcBorders>
            <w:vAlign w:val="center"/>
          </w:tcPr>
          <w:p w14:paraId="248C818C" w14:textId="51ACA0FA" w:rsidR="00F776FB" w:rsidRPr="00F55BDF" w:rsidRDefault="00F776FB" w:rsidP="004002FD">
            <w:pPr>
              <w:spacing w:after="0" w:line="240" w:lineRule="auto"/>
              <w:rPr>
                <w:rFonts w:eastAsia="Times New Roman" w:cstheme="minorHAnsi"/>
                <w:sz w:val="20"/>
                <w:szCs w:val="20"/>
                <w:lang w:eastAsia="fr-FR"/>
              </w:rPr>
            </w:pPr>
            <w:r w:rsidRPr="00F55BDF">
              <w:rPr>
                <w:rFonts w:eastAsia="Times New Roman" w:cstheme="minorHAnsi"/>
                <w:sz w:val="20"/>
                <w:szCs w:val="20"/>
                <w:lang w:eastAsia="fr-FR"/>
              </w:rPr>
              <w:t xml:space="preserve">2019 : </w:t>
            </w:r>
            <w:r w:rsidR="00ED59AA" w:rsidRPr="00F55BDF">
              <w:rPr>
                <w:rFonts w:eastAsia="Times New Roman" w:cstheme="minorHAnsi"/>
                <w:sz w:val="20"/>
                <w:szCs w:val="20"/>
                <w:lang w:eastAsia="fr-FR"/>
              </w:rPr>
              <w:t>0 stratégie</w:t>
            </w:r>
            <w:r w:rsidRPr="00F55BDF">
              <w:rPr>
                <w:rFonts w:eastAsia="Times New Roman" w:cstheme="minorHAnsi"/>
                <w:sz w:val="20"/>
                <w:szCs w:val="20"/>
                <w:lang w:eastAsia="fr-FR"/>
              </w:rPr>
              <w:t>/politique</w:t>
            </w:r>
          </w:p>
          <w:p w14:paraId="66A8777A" w14:textId="79427EE1" w:rsidR="00AA0595" w:rsidRPr="00F55BDF" w:rsidRDefault="00AA0595" w:rsidP="004002FD">
            <w:pPr>
              <w:spacing w:after="0" w:line="240" w:lineRule="auto"/>
              <w:rPr>
                <w:rFonts w:eastAsia="Times New Roman" w:cstheme="minorHAnsi"/>
                <w:sz w:val="20"/>
                <w:szCs w:val="20"/>
                <w:lang w:eastAsia="fr-FR"/>
              </w:rPr>
            </w:pPr>
            <w:r w:rsidRPr="00F55BDF">
              <w:rPr>
                <w:rFonts w:eastAsia="Times New Roman" w:cstheme="minorHAnsi"/>
                <w:sz w:val="20"/>
                <w:szCs w:val="20"/>
                <w:lang w:eastAsia="fr-FR"/>
              </w:rPr>
              <w:t>2019 : analyse et proposition de texte validé par la CER (non)</w:t>
            </w:r>
          </w:p>
          <w:p w14:paraId="0D665826" w14:textId="7604266F" w:rsidR="00E02D9F" w:rsidRPr="00F55BDF" w:rsidRDefault="00E02D9F" w:rsidP="004002FD">
            <w:pPr>
              <w:spacing w:after="0" w:line="240" w:lineRule="auto"/>
              <w:rPr>
                <w:rFonts w:eastAsia="Times New Roman" w:cstheme="minorHAnsi"/>
                <w:sz w:val="20"/>
                <w:szCs w:val="20"/>
                <w:lang w:eastAsia="fr-FR"/>
              </w:rPr>
            </w:pPr>
            <w:r w:rsidRPr="00F55BDF">
              <w:rPr>
                <w:rFonts w:eastAsia="Times New Roman" w:cstheme="minorHAnsi"/>
                <w:sz w:val="20"/>
                <w:szCs w:val="20"/>
                <w:lang w:eastAsia="fr-FR"/>
              </w:rPr>
              <w:t>2019 : TDR et méthodologie EES validé par la CER</w:t>
            </w:r>
            <w:r w:rsidR="009461EC" w:rsidRPr="00F55BDF">
              <w:rPr>
                <w:rFonts w:eastAsia="Times New Roman" w:cstheme="minorHAnsi"/>
                <w:sz w:val="20"/>
                <w:szCs w:val="20"/>
                <w:lang w:eastAsia="fr-FR"/>
              </w:rPr>
              <w:t xml:space="preserve"> (oui)</w:t>
            </w:r>
          </w:p>
          <w:p w14:paraId="479DACBD" w14:textId="365007E9" w:rsidR="00ED59AA" w:rsidRPr="00F55BDF" w:rsidRDefault="00F776FB" w:rsidP="004002FD">
            <w:pPr>
              <w:spacing w:after="0" w:line="240" w:lineRule="auto"/>
              <w:rPr>
                <w:rFonts w:eastAsia="Times New Roman" w:cstheme="minorHAnsi"/>
                <w:sz w:val="20"/>
                <w:szCs w:val="20"/>
                <w:lang w:eastAsia="fr-FR"/>
              </w:rPr>
            </w:pPr>
            <w:r w:rsidRPr="00F55BDF">
              <w:rPr>
                <w:rFonts w:eastAsia="Times New Roman" w:cstheme="minorHAnsi"/>
                <w:sz w:val="20"/>
                <w:szCs w:val="20"/>
                <w:lang w:eastAsia="fr-FR"/>
              </w:rPr>
              <w:t>Etapes réalisées</w:t>
            </w:r>
            <w:r w:rsidR="00ED59AA" w:rsidRPr="00F55BDF">
              <w:rPr>
                <w:rFonts w:eastAsia="Times New Roman" w:cstheme="minorHAnsi"/>
                <w:sz w:val="20"/>
                <w:szCs w:val="20"/>
                <w:lang w:eastAsia="fr-FR"/>
              </w:rPr>
              <w:t xml:space="preserve"> : </w:t>
            </w:r>
          </w:p>
          <w:p w14:paraId="374C3A6E" w14:textId="5FD4BDDD" w:rsidR="00ED59AA" w:rsidRPr="00F55BDF" w:rsidRDefault="00ED59AA" w:rsidP="004002FD">
            <w:pPr>
              <w:spacing w:after="0" w:line="240" w:lineRule="auto"/>
              <w:rPr>
                <w:rFonts w:eastAsia="Times New Roman" w:cstheme="minorHAnsi"/>
                <w:sz w:val="20"/>
                <w:szCs w:val="20"/>
                <w:lang w:eastAsia="fr-FR"/>
              </w:rPr>
            </w:pPr>
            <w:r w:rsidRPr="00F55BDF">
              <w:rPr>
                <w:rFonts w:eastAsia="Times New Roman" w:cstheme="minorHAnsi"/>
                <w:sz w:val="20"/>
                <w:szCs w:val="20"/>
                <w:lang w:eastAsia="fr-FR"/>
              </w:rPr>
              <w:t xml:space="preserve">TDR </w:t>
            </w:r>
            <w:r w:rsidR="005A1CA8" w:rsidRPr="00F55BDF">
              <w:rPr>
                <w:rFonts w:eastAsia="Times New Roman" w:cstheme="minorHAnsi"/>
                <w:sz w:val="20"/>
                <w:szCs w:val="20"/>
                <w:lang w:eastAsia="fr-FR"/>
              </w:rPr>
              <w:t xml:space="preserve">et méthodologie </w:t>
            </w:r>
            <w:r w:rsidRPr="00F55BDF">
              <w:rPr>
                <w:rFonts w:eastAsia="Times New Roman" w:cstheme="minorHAnsi"/>
                <w:sz w:val="20"/>
                <w:szCs w:val="20"/>
                <w:lang w:eastAsia="fr-FR"/>
              </w:rPr>
              <w:t>pour l’élaboration de l’EES régional validé par la Cellule Environnementale Régionale (CER), MEDD et ONE.</w:t>
            </w:r>
          </w:p>
          <w:p w14:paraId="334319DB" w14:textId="06F8A761" w:rsidR="005E103D" w:rsidRPr="00F55BDF" w:rsidRDefault="00F776FB" w:rsidP="004002FD">
            <w:pPr>
              <w:spacing w:after="0" w:line="240" w:lineRule="auto"/>
              <w:rPr>
                <w:rFonts w:eastAsia="Times New Roman" w:cstheme="minorHAnsi"/>
                <w:sz w:val="20"/>
                <w:szCs w:val="20"/>
                <w:lang w:eastAsia="fr-FR"/>
              </w:rPr>
            </w:pPr>
            <w:r w:rsidRPr="00F55BDF">
              <w:rPr>
                <w:rFonts w:eastAsia="Times New Roman" w:cstheme="minorHAnsi"/>
                <w:sz w:val="20"/>
                <w:szCs w:val="20"/>
                <w:lang w:eastAsia="fr-FR"/>
              </w:rPr>
              <w:t>Explication :</w:t>
            </w:r>
          </w:p>
          <w:p w14:paraId="4BE6A360" w14:textId="4FC11D84" w:rsidR="00F776FB" w:rsidRPr="00F55BDF" w:rsidRDefault="00F776FB" w:rsidP="004002FD">
            <w:pPr>
              <w:spacing w:after="0" w:line="240" w:lineRule="auto"/>
              <w:rPr>
                <w:rFonts w:eastAsia="Times New Roman" w:cstheme="minorHAnsi"/>
                <w:color w:val="0070C0"/>
                <w:sz w:val="20"/>
                <w:szCs w:val="20"/>
                <w:lang w:eastAsia="fr-FR"/>
              </w:rPr>
            </w:pPr>
            <w:r w:rsidRPr="00F55BDF">
              <w:rPr>
                <w:rFonts w:eastAsia="Times New Roman" w:cstheme="minorHAnsi"/>
                <w:sz w:val="20"/>
                <w:szCs w:val="20"/>
                <w:lang w:eastAsia="fr-FR"/>
              </w:rPr>
              <w:t xml:space="preserve">Recrutement d’un consultant juriste infructueuse après 02 relances. </w:t>
            </w:r>
          </w:p>
        </w:tc>
        <w:tc>
          <w:tcPr>
            <w:tcW w:w="486" w:type="pct"/>
            <w:tcBorders>
              <w:top w:val="nil"/>
              <w:left w:val="nil"/>
              <w:bottom w:val="single" w:sz="4" w:space="0" w:color="auto"/>
              <w:right w:val="single" w:sz="4" w:space="0" w:color="auto"/>
            </w:tcBorders>
            <w:shd w:val="clear" w:color="auto" w:fill="auto"/>
            <w:noWrap/>
            <w:vAlign w:val="center"/>
          </w:tcPr>
          <w:p w14:paraId="6A167DFA" w14:textId="78E92F76"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Consultation de documents</w:t>
            </w:r>
          </w:p>
        </w:tc>
        <w:tc>
          <w:tcPr>
            <w:tcW w:w="487" w:type="pct"/>
            <w:tcBorders>
              <w:top w:val="nil"/>
              <w:left w:val="nil"/>
              <w:bottom w:val="single" w:sz="4" w:space="0" w:color="auto"/>
              <w:right w:val="single" w:sz="4" w:space="0" w:color="auto"/>
            </w:tcBorders>
            <w:vAlign w:val="center"/>
          </w:tcPr>
          <w:p w14:paraId="7BEBD36E" w14:textId="723208CC"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et documents stratégiques</w:t>
            </w:r>
          </w:p>
        </w:tc>
      </w:tr>
      <w:tr w:rsidR="005E103D" w:rsidRPr="00F55BDF" w14:paraId="6399388B" w14:textId="77777777" w:rsidTr="00303D3F">
        <w:trPr>
          <w:trHeight w:val="1651"/>
        </w:trPr>
        <w:tc>
          <w:tcPr>
            <w:tcW w:w="487" w:type="pct"/>
            <w:tcBorders>
              <w:left w:val="single" w:sz="4" w:space="0" w:color="auto"/>
              <w:bottom w:val="single" w:sz="4" w:space="0" w:color="auto"/>
              <w:right w:val="single" w:sz="4" w:space="0" w:color="auto"/>
            </w:tcBorders>
            <w:shd w:val="clear" w:color="auto" w:fill="auto"/>
            <w:vAlign w:val="center"/>
          </w:tcPr>
          <w:p w14:paraId="45F17195" w14:textId="77777777" w:rsidR="005E103D" w:rsidRPr="00F55BDF" w:rsidRDefault="005E103D"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5A9F41DC" w14:textId="0962546B" w:rsidR="005E103D" w:rsidRPr="00F55BDF" w:rsidRDefault="005E103D"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7 : (g) :  Nombre d’AP utilisant l’outil de suivi METT à base annuelle</w:t>
            </w:r>
          </w:p>
        </w:tc>
        <w:tc>
          <w:tcPr>
            <w:tcW w:w="915" w:type="pct"/>
            <w:tcBorders>
              <w:top w:val="nil"/>
              <w:left w:val="nil"/>
              <w:bottom w:val="single" w:sz="4" w:space="0" w:color="auto"/>
              <w:right w:val="single" w:sz="4" w:space="0" w:color="auto"/>
            </w:tcBorders>
            <w:shd w:val="clear" w:color="auto" w:fill="auto"/>
            <w:noWrap/>
            <w:vAlign w:val="center"/>
          </w:tcPr>
          <w:p w14:paraId="228E7492" w14:textId="1632F657" w:rsidR="005E103D" w:rsidRPr="00F55BDF" w:rsidRDefault="005E103D"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2017 : </w:t>
            </w:r>
            <w:r w:rsidR="00016FBD" w:rsidRPr="00F55BDF">
              <w:rPr>
                <w:rFonts w:eastAsia="Times New Roman" w:cstheme="minorHAnsi"/>
                <w:i/>
                <w:color w:val="000000"/>
                <w:sz w:val="20"/>
                <w:szCs w:val="20"/>
                <w:lang w:eastAsia="fr-FR"/>
              </w:rPr>
              <w:t>le METT a été utilisés dans 4 AP pendant la phase de développement du projet</w:t>
            </w:r>
            <w:r w:rsidR="006E47E7" w:rsidRPr="00F55BDF">
              <w:rPr>
                <w:rFonts w:eastAsia="Times New Roman" w:cstheme="minorHAnsi"/>
                <w:i/>
                <w:color w:val="000000"/>
                <w:sz w:val="20"/>
                <w:szCs w:val="20"/>
                <w:lang w:eastAsia="fr-FR"/>
              </w:rPr>
              <w:t xml:space="preserve"> (</w:t>
            </w:r>
            <w:r w:rsidR="005E42ED" w:rsidRPr="00F55BDF">
              <w:rPr>
                <w:rFonts w:eastAsia="Times New Roman" w:cstheme="minorHAnsi"/>
                <w:i/>
                <w:color w:val="000000"/>
                <w:sz w:val="20"/>
                <w:szCs w:val="20"/>
                <w:lang w:eastAsia="fr-FR"/>
              </w:rPr>
              <w:t xml:space="preserve">Score : </w:t>
            </w:r>
            <w:proofErr w:type="spellStart"/>
            <w:r w:rsidR="006E47E7" w:rsidRPr="00F55BDF">
              <w:rPr>
                <w:rFonts w:eastAsia="Times New Roman" w:cstheme="minorHAnsi"/>
                <w:i/>
                <w:color w:val="000000"/>
                <w:sz w:val="20"/>
                <w:szCs w:val="20"/>
                <w:lang w:eastAsia="fr-FR"/>
              </w:rPr>
              <w:t>Mikea</w:t>
            </w:r>
            <w:proofErr w:type="spellEnd"/>
            <w:r w:rsidR="005E42ED" w:rsidRPr="00F55BDF">
              <w:rPr>
                <w:rFonts w:eastAsia="Times New Roman" w:cstheme="minorHAnsi"/>
                <w:i/>
                <w:color w:val="000000"/>
                <w:sz w:val="20"/>
                <w:szCs w:val="20"/>
                <w:lang w:eastAsia="fr-FR"/>
              </w:rPr>
              <w:t xml:space="preserve"> (71%)</w:t>
            </w:r>
            <w:r w:rsidR="006E47E7" w:rsidRPr="00F55BDF">
              <w:rPr>
                <w:rFonts w:eastAsia="Times New Roman" w:cstheme="minorHAnsi"/>
                <w:i/>
                <w:color w:val="000000"/>
                <w:sz w:val="20"/>
                <w:szCs w:val="20"/>
                <w:lang w:eastAsia="fr-FR"/>
              </w:rPr>
              <w:t xml:space="preserve">, </w:t>
            </w:r>
            <w:proofErr w:type="spellStart"/>
            <w:r w:rsidR="006E47E7" w:rsidRPr="00F55BDF">
              <w:rPr>
                <w:rFonts w:eastAsia="Times New Roman" w:cstheme="minorHAnsi"/>
                <w:i/>
                <w:color w:val="000000"/>
                <w:sz w:val="20"/>
                <w:szCs w:val="20"/>
                <w:lang w:eastAsia="fr-FR"/>
              </w:rPr>
              <w:t>Beza</w:t>
            </w:r>
            <w:proofErr w:type="spellEnd"/>
            <w:r w:rsidR="006E47E7" w:rsidRPr="00F55BDF">
              <w:rPr>
                <w:rFonts w:eastAsia="Times New Roman" w:cstheme="minorHAnsi"/>
                <w:i/>
                <w:color w:val="000000"/>
                <w:sz w:val="20"/>
                <w:szCs w:val="20"/>
                <w:lang w:eastAsia="fr-FR"/>
              </w:rPr>
              <w:t xml:space="preserve"> </w:t>
            </w:r>
            <w:proofErr w:type="spellStart"/>
            <w:r w:rsidR="006E47E7" w:rsidRPr="00F55BDF">
              <w:rPr>
                <w:rFonts w:eastAsia="Times New Roman" w:cstheme="minorHAnsi"/>
                <w:i/>
                <w:color w:val="000000"/>
                <w:sz w:val="20"/>
                <w:szCs w:val="20"/>
                <w:lang w:eastAsia="fr-FR"/>
              </w:rPr>
              <w:t>Mahafaly</w:t>
            </w:r>
            <w:proofErr w:type="spellEnd"/>
            <w:r w:rsidR="005E42ED" w:rsidRPr="00F55BDF">
              <w:rPr>
                <w:rFonts w:eastAsia="Times New Roman" w:cstheme="minorHAnsi"/>
                <w:i/>
                <w:color w:val="000000"/>
                <w:sz w:val="20"/>
                <w:szCs w:val="20"/>
                <w:lang w:eastAsia="fr-FR"/>
              </w:rPr>
              <w:t xml:space="preserve"> (70%)</w:t>
            </w:r>
            <w:r w:rsidR="006E47E7" w:rsidRPr="00F55BDF">
              <w:rPr>
                <w:rFonts w:eastAsia="Times New Roman" w:cstheme="minorHAnsi"/>
                <w:i/>
                <w:color w:val="000000"/>
                <w:sz w:val="20"/>
                <w:szCs w:val="20"/>
                <w:lang w:eastAsia="fr-FR"/>
              </w:rPr>
              <w:t xml:space="preserve">, </w:t>
            </w:r>
            <w:proofErr w:type="spellStart"/>
            <w:r w:rsidR="006E47E7" w:rsidRPr="00F55BDF">
              <w:rPr>
                <w:rFonts w:eastAsia="Times New Roman" w:cstheme="minorHAnsi"/>
                <w:i/>
                <w:color w:val="000000"/>
                <w:sz w:val="20"/>
                <w:szCs w:val="20"/>
                <w:lang w:eastAsia="fr-FR"/>
              </w:rPr>
              <w:t>Amoron’i</w:t>
            </w:r>
            <w:proofErr w:type="spellEnd"/>
            <w:r w:rsidR="006E47E7" w:rsidRPr="00F55BDF">
              <w:rPr>
                <w:rFonts w:eastAsia="Times New Roman" w:cstheme="minorHAnsi"/>
                <w:i/>
                <w:color w:val="000000"/>
                <w:sz w:val="20"/>
                <w:szCs w:val="20"/>
                <w:lang w:eastAsia="fr-FR"/>
              </w:rPr>
              <w:t xml:space="preserve"> Onilahy </w:t>
            </w:r>
            <w:r w:rsidR="005E42ED" w:rsidRPr="00F55BDF">
              <w:rPr>
                <w:rFonts w:eastAsia="Times New Roman" w:cstheme="minorHAnsi"/>
                <w:i/>
                <w:color w:val="000000"/>
                <w:sz w:val="20"/>
                <w:szCs w:val="20"/>
                <w:lang w:eastAsia="fr-FR"/>
              </w:rPr>
              <w:t xml:space="preserve">(73%) </w:t>
            </w:r>
            <w:r w:rsidR="006E47E7" w:rsidRPr="00F55BDF">
              <w:rPr>
                <w:rFonts w:eastAsia="Times New Roman" w:cstheme="minorHAnsi"/>
                <w:i/>
                <w:color w:val="000000"/>
                <w:sz w:val="20"/>
                <w:szCs w:val="20"/>
                <w:lang w:eastAsia="fr-FR"/>
              </w:rPr>
              <w:t xml:space="preserve">et </w:t>
            </w:r>
            <w:proofErr w:type="spellStart"/>
            <w:r w:rsidR="006E47E7" w:rsidRPr="00F55BDF">
              <w:rPr>
                <w:rFonts w:eastAsia="Times New Roman" w:cstheme="minorHAnsi"/>
                <w:i/>
                <w:color w:val="000000"/>
                <w:sz w:val="20"/>
                <w:szCs w:val="20"/>
                <w:lang w:eastAsia="fr-FR"/>
              </w:rPr>
              <w:t>Tsimanampesotse</w:t>
            </w:r>
            <w:proofErr w:type="spellEnd"/>
            <w:r w:rsidR="005E42ED" w:rsidRPr="00F55BDF">
              <w:rPr>
                <w:rFonts w:eastAsia="Times New Roman" w:cstheme="minorHAnsi"/>
                <w:i/>
                <w:color w:val="000000"/>
                <w:sz w:val="20"/>
                <w:szCs w:val="20"/>
                <w:lang w:eastAsia="fr-FR"/>
              </w:rPr>
              <w:t xml:space="preserve"> (80%)</w:t>
            </w:r>
            <w:r w:rsidR="006E47E7" w:rsidRPr="00F55BDF">
              <w:rPr>
                <w:rFonts w:eastAsia="Times New Roman" w:cstheme="minorHAnsi"/>
                <w:i/>
                <w:color w:val="000000"/>
                <w:sz w:val="20"/>
                <w:szCs w:val="20"/>
                <w:lang w:eastAsia="fr-FR"/>
              </w:rPr>
              <w:t>)</w:t>
            </w:r>
          </w:p>
          <w:p w14:paraId="2AAE81DF" w14:textId="7BB44E7C" w:rsidR="00016FBD" w:rsidRPr="00F55BDF" w:rsidRDefault="00016FBD" w:rsidP="004002FD">
            <w:pPr>
              <w:spacing w:after="0" w:line="240" w:lineRule="auto"/>
              <w:rPr>
                <w:rFonts w:eastAsia="Times New Roman" w:cstheme="minorHAnsi"/>
                <w:i/>
                <w:color w:val="000000"/>
                <w:sz w:val="20"/>
                <w:szCs w:val="20"/>
                <w:lang w:eastAsia="fr-FR"/>
              </w:rPr>
            </w:pPr>
          </w:p>
        </w:tc>
        <w:tc>
          <w:tcPr>
            <w:tcW w:w="961" w:type="pct"/>
            <w:tcBorders>
              <w:top w:val="nil"/>
              <w:left w:val="nil"/>
              <w:bottom w:val="single" w:sz="4" w:space="0" w:color="auto"/>
              <w:right w:val="single" w:sz="4" w:space="0" w:color="auto"/>
            </w:tcBorders>
            <w:shd w:val="clear" w:color="auto" w:fill="auto"/>
            <w:vAlign w:val="center"/>
          </w:tcPr>
          <w:p w14:paraId="141FDBA8" w14:textId="497ABE9A" w:rsidR="00764B7B" w:rsidRPr="00F55BDF" w:rsidRDefault="00764B7B"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2018 : 07 AP utilisent le METT</w:t>
            </w:r>
          </w:p>
          <w:p w14:paraId="03B8FF8A" w14:textId="4F33DFDC" w:rsidR="005E103D" w:rsidRPr="00F55BDF" w:rsidRDefault="005E103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2022 : 8 AP utilisant le METT</w:t>
            </w:r>
          </w:p>
        </w:tc>
        <w:tc>
          <w:tcPr>
            <w:tcW w:w="841" w:type="pct"/>
            <w:tcBorders>
              <w:top w:val="single" w:sz="4" w:space="0" w:color="auto"/>
              <w:left w:val="nil"/>
              <w:bottom w:val="single" w:sz="4" w:space="0" w:color="auto"/>
              <w:right w:val="single" w:sz="4" w:space="0" w:color="auto"/>
            </w:tcBorders>
            <w:vAlign w:val="center"/>
          </w:tcPr>
          <w:p w14:paraId="2610DEF5" w14:textId="2A890CE1" w:rsidR="005E103D" w:rsidRPr="00F55BDF" w:rsidRDefault="00016FBD" w:rsidP="004002FD">
            <w:pPr>
              <w:spacing w:after="0" w:line="240" w:lineRule="auto"/>
              <w:rPr>
                <w:rFonts w:eastAsia="Times New Roman" w:cstheme="minorHAnsi"/>
                <w:sz w:val="20"/>
                <w:szCs w:val="20"/>
                <w:lang w:eastAsia="fr-FR"/>
              </w:rPr>
            </w:pPr>
            <w:r w:rsidRPr="00F55BDF">
              <w:rPr>
                <w:rFonts w:eastAsia="Times New Roman" w:cstheme="minorHAnsi"/>
                <w:sz w:val="20"/>
                <w:szCs w:val="20"/>
                <w:lang w:eastAsia="fr-FR"/>
              </w:rPr>
              <w:t>2019 : 0</w:t>
            </w:r>
            <w:r w:rsidR="00F776FB" w:rsidRPr="00F55BDF">
              <w:rPr>
                <w:rFonts w:eastAsia="Times New Roman" w:cstheme="minorHAnsi"/>
                <w:sz w:val="20"/>
                <w:szCs w:val="20"/>
                <w:lang w:eastAsia="fr-FR"/>
              </w:rPr>
              <w:t>9</w:t>
            </w:r>
            <w:r w:rsidRPr="00F55BDF">
              <w:rPr>
                <w:rFonts w:eastAsia="Times New Roman" w:cstheme="minorHAnsi"/>
                <w:sz w:val="20"/>
                <w:szCs w:val="20"/>
                <w:lang w:eastAsia="fr-FR"/>
              </w:rPr>
              <w:t xml:space="preserve"> AP utilisent le METT (</w:t>
            </w:r>
            <w:r w:rsidR="005E42ED" w:rsidRPr="00F55BDF">
              <w:rPr>
                <w:rFonts w:eastAsia="Times New Roman" w:cstheme="minorHAnsi"/>
                <w:sz w:val="20"/>
                <w:szCs w:val="20"/>
                <w:lang w:eastAsia="fr-FR"/>
              </w:rPr>
              <w:t xml:space="preserve">Scores : </w:t>
            </w:r>
            <w:r w:rsidRPr="00F55BDF">
              <w:rPr>
                <w:rFonts w:eastAsia="Times New Roman" w:cstheme="minorHAnsi"/>
                <w:sz w:val="20"/>
                <w:szCs w:val="20"/>
                <w:lang w:eastAsia="fr-FR"/>
              </w:rPr>
              <w:t xml:space="preserve">Parc </w:t>
            </w:r>
            <w:proofErr w:type="spellStart"/>
            <w:r w:rsidRPr="00F55BDF">
              <w:rPr>
                <w:rFonts w:eastAsia="Times New Roman" w:cstheme="minorHAnsi"/>
                <w:sz w:val="20"/>
                <w:szCs w:val="20"/>
                <w:lang w:eastAsia="fr-FR"/>
              </w:rPr>
              <w:t>Tsimanampesotse</w:t>
            </w:r>
            <w:proofErr w:type="spellEnd"/>
            <w:r w:rsidR="005E42ED" w:rsidRPr="00F55BDF">
              <w:rPr>
                <w:rFonts w:eastAsia="Times New Roman" w:cstheme="minorHAnsi"/>
                <w:sz w:val="20"/>
                <w:szCs w:val="20"/>
                <w:lang w:eastAsia="fr-FR"/>
              </w:rPr>
              <w:t xml:space="preserve"> (8</w:t>
            </w:r>
            <w:r w:rsidR="00F776FB" w:rsidRPr="00F55BDF">
              <w:rPr>
                <w:rFonts w:eastAsia="Times New Roman" w:cstheme="minorHAnsi"/>
                <w:sz w:val="20"/>
                <w:szCs w:val="20"/>
                <w:lang w:eastAsia="fr-FR"/>
              </w:rPr>
              <w:t>7%</w:t>
            </w:r>
            <w:r w:rsidR="005E42ED" w:rsidRPr="00F55BDF">
              <w:rPr>
                <w:rFonts w:eastAsia="Times New Roman" w:cstheme="minorHAnsi"/>
                <w:sz w:val="20"/>
                <w:szCs w:val="20"/>
                <w:lang w:eastAsia="fr-FR"/>
              </w:rPr>
              <w:t>)</w:t>
            </w:r>
            <w:r w:rsidRPr="00F55BDF">
              <w:rPr>
                <w:rFonts w:eastAsia="Times New Roman" w:cstheme="minorHAnsi"/>
                <w:sz w:val="20"/>
                <w:szCs w:val="20"/>
                <w:lang w:eastAsia="fr-FR"/>
              </w:rPr>
              <w:t xml:space="preserve">, Parc </w:t>
            </w:r>
            <w:proofErr w:type="spellStart"/>
            <w:r w:rsidRPr="00F55BDF">
              <w:rPr>
                <w:rFonts w:eastAsia="Times New Roman" w:cstheme="minorHAnsi"/>
                <w:sz w:val="20"/>
                <w:szCs w:val="20"/>
                <w:lang w:eastAsia="fr-FR"/>
              </w:rPr>
              <w:t>Mikea</w:t>
            </w:r>
            <w:proofErr w:type="spellEnd"/>
            <w:r w:rsidR="005E42ED" w:rsidRPr="00F55BDF">
              <w:rPr>
                <w:rFonts w:eastAsia="Times New Roman" w:cstheme="minorHAnsi"/>
                <w:sz w:val="20"/>
                <w:szCs w:val="20"/>
                <w:lang w:eastAsia="fr-FR"/>
              </w:rPr>
              <w:t xml:space="preserve"> (7</w:t>
            </w:r>
            <w:r w:rsidR="00F776FB" w:rsidRPr="00F55BDF">
              <w:rPr>
                <w:rFonts w:eastAsia="Times New Roman" w:cstheme="minorHAnsi"/>
                <w:sz w:val="20"/>
                <w:szCs w:val="20"/>
                <w:lang w:eastAsia="fr-FR"/>
              </w:rPr>
              <w:t>2</w:t>
            </w:r>
            <w:r w:rsidR="005E42ED" w:rsidRPr="00F55BDF">
              <w:rPr>
                <w:rFonts w:eastAsia="Times New Roman" w:cstheme="minorHAnsi"/>
                <w:sz w:val="20"/>
                <w:szCs w:val="20"/>
                <w:lang w:eastAsia="fr-FR"/>
              </w:rPr>
              <w:t>%)</w:t>
            </w:r>
            <w:r w:rsidRPr="00F55BDF">
              <w:rPr>
                <w:rFonts w:eastAsia="Times New Roman" w:cstheme="minorHAnsi"/>
                <w:sz w:val="20"/>
                <w:szCs w:val="20"/>
                <w:lang w:eastAsia="fr-FR"/>
              </w:rPr>
              <w:t xml:space="preserve">, Parc </w:t>
            </w:r>
            <w:proofErr w:type="spellStart"/>
            <w:r w:rsidRPr="00F55BDF">
              <w:rPr>
                <w:rFonts w:eastAsia="Times New Roman" w:cstheme="minorHAnsi"/>
                <w:sz w:val="20"/>
                <w:szCs w:val="20"/>
                <w:lang w:eastAsia="fr-FR"/>
              </w:rPr>
              <w:t>Isalo</w:t>
            </w:r>
            <w:proofErr w:type="spellEnd"/>
            <w:r w:rsidR="005E42ED" w:rsidRPr="00F55BDF">
              <w:rPr>
                <w:rFonts w:eastAsia="Times New Roman" w:cstheme="minorHAnsi"/>
                <w:sz w:val="20"/>
                <w:szCs w:val="20"/>
                <w:lang w:eastAsia="fr-FR"/>
              </w:rPr>
              <w:t xml:space="preserve"> (76%)</w:t>
            </w:r>
            <w:r w:rsidRPr="00F55BDF">
              <w:rPr>
                <w:rFonts w:eastAsia="Times New Roman" w:cstheme="minorHAnsi"/>
                <w:sz w:val="20"/>
                <w:szCs w:val="20"/>
                <w:lang w:eastAsia="fr-FR"/>
              </w:rPr>
              <w:t xml:space="preserve">, </w:t>
            </w:r>
            <w:r w:rsidR="00764B7B" w:rsidRPr="00F55BDF">
              <w:rPr>
                <w:rFonts w:eastAsia="Times New Roman" w:cstheme="minorHAnsi"/>
                <w:sz w:val="20"/>
                <w:szCs w:val="20"/>
                <w:lang w:eastAsia="fr-FR"/>
              </w:rPr>
              <w:t xml:space="preserve">Parc </w:t>
            </w:r>
            <w:proofErr w:type="spellStart"/>
            <w:r w:rsidR="00764B7B" w:rsidRPr="00F55BDF">
              <w:rPr>
                <w:rFonts w:eastAsia="Times New Roman" w:cstheme="minorHAnsi"/>
                <w:sz w:val="20"/>
                <w:szCs w:val="20"/>
                <w:lang w:eastAsia="fr-FR"/>
              </w:rPr>
              <w:t>Zombitse</w:t>
            </w:r>
            <w:proofErr w:type="spellEnd"/>
            <w:r w:rsidR="005E42ED" w:rsidRPr="00F55BDF">
              <w:rPr>
                <w:rFonts w:eastAsia="Times New Roman" w:cstheme="minorHAnsi"/>
                <w:sz w:val="20"/>
                <w:szCs w:val="20"/>
                <w:lang w:eastAsia="fr-FR"/>
              </w:rPr>
              <w:t xml:space="preserve"> (79%)</w:t>
            </w:r>
            <w:r w:rsidR="00764B7B" w:rsidRPr="00F55BDF">
              <w:rPr>
                <w:rFonts w:eastAsia="Times New Roman" w:cstheme="minorHAnsi"/>
                <w:sz w:val="20"/>
                <w:szCs w:val="20"/>
                <w:lang w:eastAsia="fr-FR"/>
              </w:rPr>
              <w:t xml:space="preserve">, </w:t>
            </w:r>
            <w:proofErr w:type="spellStart"/>
            <w:r w:rsidRPr="00F55BDF">
              <w:rPr>
                <w:rFonts w:eastAsia="Times New Roman" w:cstheme="minorHAnsi"/>
                <w:sz w:val="20"/>
                <w:szCs w:val="20"/>
                <w:lang w:eastAsia="fr-FR"/>
              </w:rPr>
              <w:t>Amoron’i</w:t>
            </w:r>
            <w:proofErr w:type="spellEnd"/>
            <w:r w:rsidRPr="00F55BDF">
              <w:rPr>
                <w:rFonts w:eastAsia="Times New Roman" w:cstheme="minorHAnsi"/>
                <w:sz w:val="20"/>
                <w:szCs w:val="20"/>
                <w:lang w:eastAsia="fr-FR"/>
              </w:rPr>
              <w:t xml:space="preserve"> Onilahy</w:t>
            </w:r>
            <w:r w:rsidR="005E42ED" w:rsidRPr="00F55BDF">
              <w:rPr>
                <w:rFonts w:eastAsia="Times New Roman" w:cstheme="minorHAnsi"/>
                <w:sz w:val="20"/>
                <w:szCs w:val="20"/>
                <w:lang w:eastAsia="fr-FR"/>
              </w:rPr>
              <w:t xml:space="preserve"> (74%)</w:t>
            </w:r>
            <w:r w:rsidRPr="00F55BDF">
              <w:rPr>
                <w:rFonts w:eastAsia="Times New Roman" w:cstheme="minorHAnsi"/>
                <w:sz w:val="20"/>
                <w:szCs w:val="20"/>
                <w:lang w:eastAsia="fr-FR"/>
              </w:rPr>
              <w:t xml:space="preserve">, </w:t>
            </w:r>
            <w:proofErr w:type="spellStart"/>
            <w:r w:rsidRPr="00F55BDF">
              <w:rPr>
                <w:rFonts w:eastAsia="Times New Roman" w:cstheme="minorHAnsi"/>
                <w:sz w:val="20"/>
                <w:szCs w:val="20"/>
                <w:lang w:eastAsia="fr-FR"/>
              </w:rPr>
              <w:t>Tsinjoriake</w:t>
            </w:r>
            <w:proofErr w:type="spellEnd"/>
            <w:r w:rsidR="005E42ED" w:rsidRPr="00F55BDF">
              <w:rPr>
                <w:rFonts w:eastAsia="Times New Roman" w:cstheme="minorHAnsi"/>
                <w:sz w:val="20"/>
                <w:szCs w:val="20"/>
                <w:lang w:eastAsia="fr-FR"/>
              </w:rPr>
              <w:t xml:space="preserve"> (7</w:t>
            </w:r>
            <w:r w:rsidR="00F776FB" w:rsidRPr="00F55BDF">
              <w:rPr>
                <w:rFonts w:eastAsia="Times New Roman" w:cstheme="minorHAnsi"/>
                <w:sz w:val="20"/>
                <w:szCs w:val="20"/>
                <w:lang w:eastAsia="fr-FR"/>
              </w:rPr>
              <w:t>0%</w:t>
            </w:r>
            <w:proofErr w:type="gramStart"/>
            <w:r w:rsidR="00F776FB" w:rsidRPr="00F55BDF">
              <w:rPr>
                <w:rFonts w:eastAsia="Times New Roman" w:cstheme="minorHAnsi"/>
                <w:sz w:val="20"/>
                <w:szCs w:val="20"/>
                <w:lang w:eastAsia="fr-FR"/>
              </w:rPr>
              <w:t>)</w:t>
            </w:r>
            <w:r w:rsidR="005E42ED" w:rsidRPr="00F55BDF">
              <w:rPr>
                <w:rFonts w:eastAsia="Times New Roman" w:cstheme="minorHAnsi"/>
                <w:sz w:val="20"/>
                <w:szCs w:val="20"/>
                <w:lang w:eastAsia="fr-FR"/>
              </w:rPr>
              <w:t xml:space="preserve"> </w:t>
            </w:r>
            <w:r w:rsidRPr="00F55BDF">
              <w:rPr>
                <w:rFonts w:eastAsia="Times New Roman" w:cstheme="minorHAnsi"/>
                <w:sz w:val="20"/>
                <w:szCs w:val="20"/>
                <w:lang w:eastAsia="fr-FR"/>
              </w:rPr>
              <w:t>,</w:t>
            </w:r>
            <w:proofErr w:type="gramEnd"/>
            <w:r w:rsidRPr="00F55BDF">
              <w:rPr>
                <w:rFonts w:eastAsia="Times New Roman" w:cstheme="minorHAnsi"/>
                <w:sz w:val="20"/>
                <w:szCs w:val="20"/>
                <w:lang w:eastAsia="fr-FR"/>
              </w:rPr>
              <w:t xml:space="preserve"> </w:t>
            </w:r>
            <w:proofErr w:type="spellStart"/>
            <w:r w:rsidRPr="00F55BDF">
              <w:rPr>
                <w:rFonts w:eastAsia="Times New Roman" w:cstheme="minorHAnsi"/>
                <w:sz w:val="20"/>
                <w:szCs w:val="20"/>
                <w:lang w:eastAsia="fr-FR"/>
              </w:rPr>
              <w:t>Beza</w:t>
            </w:r>
            <w:proofErr w:type="spellEnd"/>
            <w:r w:rsidRPr="00F55BDF">
              <w:rPr>
                <w:rFonts w:eastAsia="Times New Roman" w:cstheme="minorHAnsi"/>
                <w:sz w:val="20"/>
                <w:szCs w:val="20"/>
                <w:lang w:eastAsia="fr-FR"/>
              </w:rPr>
              <w:t xml:space="preserve"> </w:t>
            </w:r>
            <w:proofErr w:type="spellStart"/>
            <w:r w:rsidRPr="00F55BDF">
              <w:rPr>
                <w:rFonts w:eastAsia="Times New Roman" w:cstheme="minorHAnsi"/>
                <w:sz w:val="20"/>
                <w:szCs w:val="20"/>
                <w:lang w:eastAsia="fr-FR"/>
              </w:rPr>
              <w:t>Mahafaly</w:t>
            </w:r>
            <w:proofErr w:type="spellEnd"/>
            <w:r w:rsidR="00F776FB" w:rsidRPr="00F55BDF">
              <w:rPr>
                <w:rFonts w:eastAsia="Times New Roman" w:cstheme="minorHAnsi"/>
                <w:sz w:val="20"/>
                <w:szCs w:val="20"/>
                <w:lang w:eastAsia="fr-FR"/>
              </w:rPr>
              <w:t xml:space="preserve"> (71%)</w:t>
            </w:r>
            <w:r w:rsidRPr="00F55BDF">
              <w:rPr>
                <w:rFonts w:eastAsia="Times New Roman" w:cstheme="minorHAnsi"/>
                <w:sz w:val="20"/>
                <w:szCs w:val="20"/>
                <w:lang w:eastAsia="fr-FR"/>
              </w:rPr>
              <w:t xml:space="preserve">, </w:t>
            </w:r>
            <w:r w:rsidR="00F776FB" w:rsidRPr="00F55BDF">
              <w:rPr>
                <w:rFonts w:eastAsia="Times New Roman" w:cstheme="minorHAnsi"/>
                <w:sz w:val="20"/>
                <w:szCs w:val="20"/>
                <w:lang w:eastAsia="fr-FR"/>
              </w:rPr>
              <w:t xml:space="preserve">Complexe Mangoky </w:t>
            </w:r>
            <w:proofErr w:type="spellStart"/>
            <w:r w:rsidR="00F776FB" w:rsidRPr="00F55BDF">
              <w:rPr>
                <w:rFonts w:eastAsia="Times New Roman" w:cstheme="minorHAnsi"/>
                <w:sz w:val="20"/>
                <w:szCs w:val="20"/>
                <w:lang w:eastAsia="fr-FR"/>
              </w:rPr>
              <w:t>Ihotry</w:t>
            </w:r>
            <w:proofErr w:type="spellEnd"/>
            <w:r w:rsidR="00F776FB" w:rsidRPr="00F55BDF">
              <w:rPr>
                <w:rFonts w:eastAsia="Times New Roman" w:cstheme="minorHAnsi"/>
                <w:sz w:val="20"/>
                <w:szCs w:val="20"/>
                <w:lang w:eastAsia="fr-FR"/>
              </w:rPr>
              <w:t xml:space="preserve"> (71%), </w:t>
            </w:r>
            <w:proofErr w:type="spellStart"/>
            <w:r w:rsidRPr="00F55BDF">
              <w:rPr>
                <w:rFonts w:eastAsia="Times New Roman" w:cstheme="minorHAnsi"/>
                <w:sz w:val="20"/>
                <w:szCs w:val="20"/>
                <w:lang w:eastAsia="fr-FR"/>
              </w:rPr>
              <w:t>Makay</w:t>
            </w:r>
            <w:proofErr w:type="spellEnd"/>
            <w:r w:rsidR="005E42ED" w:rsidRPr="00F55BDF">
              <w:rPr>
                <w:rFonts w:eastAsia="Times New Roman" w:cstheme="minorHAnsi"/>
                <w:sz w:val="20"/>
                <w:szCs w:val="20"/>
                <w:lang w:eastAsia="fr-FR"/>
              </w:rPr>
              <w:t xml:space="preserve"> (38</w:t>
            </w:r>
            <w:r w:rsidR="00F776FB" w:rsidRPr="00F55BDF">
              <w:rPr>
                <w:rFonts w:eastAsia="Times New Roman" w:cstheme="minorHAnsi"/>
                <w:sz w:val="20"/>
                <w:szCs w:val="20"/>
                <w:lang w:eastAsia="fr-FR"/>
              </w:rPr>
              <w:t>%</w:t>
            </w:r>
            <w:r w:rsidR="005E42ED" w:rsidRPr="00F55BDF">
              <w:rPr>
                <w:rFonts w:eastAsia="Times New Roman" w:cstheme="minorHAnsi"/>
                <w:sz w:val="20"/>
                <w:szCs w:val="20"/>
                <w:lang w:eastAsia="fr-FR"/>
              </w:rPr>
              <w:t>)</w:t>
            </w:r>
            <w:r w:rsidRPr="00F55BDF">
              <w:rPr>
                <w:rFonts w:eastAsia="Times New Roman" w:cstheme="minorHAnsi"/>
                <w:sz w:val="20"/>
                <w:szCs w:val="20"/>
                <w:lang w:eastAsia="fr-FR"/>
              </w:rPr>
              <w:t xml:space="preserve">, </w:t>
            </w:r>
          </w:p>
          <w:p w14:paraId="6B2FF519" w14:textId="6A15F83E" w:rsidR="00F776FB" w:rsidRPr="00F55BDF" w:rsidRDefault="00F776FB" w:rsidP="004002FD">
            <w:pPr>
              <w:spacing w:after="0" w:line="240" w:lineRule="auto"/>
              <w:rPr>
                <w:rFonts w:eastAsia="Times New Roman" w:cstheme="minorHAnsi"/>
                <w:color w:val="0070C0"/>
                <w:sz w:val="20"/>
                <w:szCs w:val="20"/>
                <w:lang w:eastAsia="fr-FR"/>
              </w:rPr>
            </w:pPr>
            <w:r w:rsidRPr="00F55BDF">
              <w:rPr>
                <w:rFonts w:eastAsia="Times New Roman" w:cstheme="minorHAnsi"/>
                <w:sz w:val="20"/>
                <w:szCs w:val="20"/>
                <w:lang w:eastAsia="fr-FR"/>
              </w:rPr>
              <w:t xml:space="preserve">Explication : l’AP </w:t>
            </w:r>
            <w:proofErr w:type="spellStart"/>
            <w:r w:rsidRPr="00F55BDF">
              <w:rPr>
                <w:rFonts w:eastAsia="Times New Roman" w:cstheme="minorHAnsi"/>
                <w:sz w:val="20"/>
                <w:szCs w:val="20"/>
                <w:lang w:eastAsia="fr-FR"/>
              </w:rPr>
              <w:t>Makay</w:t>
            </w:r>
            <w:proofErr w:type="spellEnd"/>
            <w:r w:rsidRPr="00F55BDF">
              <w:rPr>
                <w:rFonts w:eastAsia="Times New Roman" w:cstheme="minorHAnsi"/>
                <w:sz w:val="20"/>
                <w:szCs w:val="20"/>
                <w:lang w:eastAsia="fr-FR"/>
              </w:rPr>
              <w:t xml:space="preserve"> (38%) n’a pas encore son statut de mise en protection définitive. Une AP en plein processus de création.</w:t>
            </w:r>
          </w:p>
        </w:tc>
        <w:tc>
          <w:tcPr>
            <w:tcW w:w="486" w:type="pct"/>
            <w:tcBorders>
              <w:top w:val="nil"/>
              <w:left w:val="nil"/>
              <w:bottom w:val="single" w:sz="4" w:space="0" w:color="auto"/>
              <w:right w:val="single" w:sz="4" w:space="0" w:color="auto"/>
            </w:tcBorders>
            <w:shd w:val="clear" w:color="auto" w:fill="auto"/>
            <w:noWrap/>
            <w:vAlign w:val="center"/>
          </w:tcPr>
          <w:p w14:paraId="7DB95F98" w14:textId="77777777"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Collecte et analyse des outils METT</w:t>
            </w:r>
          </w:p>
          <w:p w14:paraId="29DAA11E" w14:textId="4B9538BD"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Atelier AP</w:t>
            </w:r>
          </w:p>
        </w:tc>
        <w:tc>
          <w:tcPr>
            <w:tcW w:w="487" w:type="pct"/>
            <w:tcBorders>
              <w:top w:val="nil"/>
              <w:left w:val="nil"/>
              <w:bottom w:val="single" w:sz="4" w:space="0" w:color="auto"/>
              <w:right w:val="single" w:sz="4" w:space="0" w:color="auto"/>
            </w:tcBorders>
            <w:vAlign w:val="center"/>
          </w:tcPr>
          <w:p w14:paraId="4363B811" w14:textId="24F7F0E0" w:rsidR="005E103D" w:rsidRPr="00F55BDF" w:rsidRDefault="005E103D" w:rsidP="005E103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Outil METT</w:t>
            </w:r>
          </w:p>
        </w:tc>
      </w:tr>
      <w:tr w:rsidR="00056893" w:rsidRPr="00F55BDF" w14:paraId="6D578248" w14:textId="77777777" w:rsidTr="00303D3F">
        <w:trPr>
          <w:trHeight w:val="1651"/>
        </w:trPr>
        <w:tc>
          <w:tcPr>
            <w:tcW w:w="487" w:type="pct"/>
            <w:vMerge w:val="restart"/>
            <w:tcBorders>
              <w:top w:val="nil"/>
              <w:left w:val="single" w:sz="4" w:space="0" w:color="auto"/>
              <w:right w:val="single" w:sz="4" w:space="0" w:color="auto"/>
            </w:tcBorders>
            <w:shd w:val="clear" w:color="auto" w:fill="auto"/>
            <w:vAlign w:val="center"/>
          </w:tcPr>
          <w:p w14:paraId="23323D96" w14:textId="15170DF6" w:rsidR="00056893"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b/>
                <w:bCs/>
                <w:i/>
                <w:iCs/>
                <w:color w:val="000000"/>
                <w:sz w:val="20"/>
                <w:szCs w:val="20"/>
                <w:lang w:eastAsia="fr-FR"/>
              </w:rPr>
              <w:lastRenderedPageBreak/>
              <w:t>Résultat activités 2</w:t>
            </w:r>
            <w:r w:rsidR="006C36B5" w:rsidRPr="00F55BDF">
              <w:rPr>
                <w:rFonts w:eastAsia="Times New Roman" w:cstheme="minorHAnsi"/>
                <w:i/>
                <w:iCs/>
                <w:color w:val="000000"/>
                <w:sz w:val="20"/>
                <w:szCs w:val="20"/>
                <w:lang w:eastAsia="fr-FR"/>
              </w:rPr>
              <w:t> : Les activités liées à l’utilisation des ressources et à la production communautaire incorporent la conservation et l’utilisation durable de la biodiversité dans les pratiques de gestion dans au moins 100 000 ha de nouvelles ACC</w:t>
            </w:r>
          </w:p>
        </w:tc>
        <w:tc>
          <w:tcPr>
            <w:tcW w:w="823" w:type="pct"/>
            <w:tcBorders>
              <w:top w:val="nil"/>
              <w:left w:val="nil"/>
              <w:bottom w:val="single" w:sz="4" w:space="0" w:color="auto"/>
              <w:right w:val="single" w:sz="4" w:space="0" w:color="auto"/>
            </w:tcBorders>
            <w:shd w:val="clear" w:color="auto" w:fill="auto"/>
            <w:vAlign w:val="center"/>
          </w:tcPr>
          <w:p w14:paraId="15C712E3" w14:textId="218B3C9E" w:rsidR="00303D3F"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1 : </w:t>
            </w:r>
            <w:r w:rsidR="00303D3F" w:rsidRPr="00F55BDF">
              <w:rPr>
                <w:rFonts w:eastAsia="Times New Roman" w:cstheme="minorHAnsi"/>
                <w:i/>
                <w:iCs/>
                <w:color w:val="000000"/>
                <w:sz w:val="20"/>
                <w:szCs w:val="20"/>
                <w:lang w:eastAsia="fr-FR"/>
              </w:rPr>
              <w:t>(a) : Superficie d’APC créées</w:t>
            </w:r>
          </w:p>
          <w:p w14:paraId="6AAB238E" w14:textId="77777777" w:rsidR="00303D3F" w:rsidRPr="00F55BDF" w:rsidRDefault="00303D3F" w:rsidP="004002FD">
            <w:pPr>
              <w:spacing w:after="0" w:line="240" w:lineRule="auto"/>
              <w:rPr>
                <w:rFonts w:eastAsia="Times New Roman" w:cstheme="minorHAnsi"/>
                <w:i/>
                <w:iCs/>
                <w:color w:val="000000"/>
                <w:sz w:val="20"/>
                <w:szCs w:val="20"/>
                <w:lang w:eastAsia="fr-FR"/>
              </w:rPr>
            </w:pPr>
          </w:p>
          <w:p w14:paraId="5971643B" w14:textId="4C5890CC" w:rsidR="00056893" w:rsidRPr="00F55BDF" w:rsidRDefault="00056893" w:rsidP="004002FD">
            <w:pPr>
              <w:spacing w:after="0" w:line="240" w:lineRule="auto"/>
              <w:rPr>
                <w:rFonts w:eastAsia="Times New Roman" w:cstheme="minorHAnsi"/>
                <w:i/>
                <w:iCs/>
                <w:color w:val="000000"/>
                <w:sz w:val="20"/>
                <w:szCs w:val="20"/>
                <w:lang w:eastAsia="fr-FR"/>
              </w:rPr>
            </w:pPr>
          </w:p>
        </w:tc>
        <w:tc>
          <w:tcPr>
            <w:tcW w:w="915" w:type="pct"/>
            <w:tcBorders>
              <w:top w:val="nil"/>
              <w:left w:val="nil"/>
              <w:bottom w:val="single" w:sz="4" w:space="0" w:color="auto"/>
              <w:right w:val="single" w:sz="4" w:space="0" w:color="auto"/>
            </w:tcBorders>
            <w:shd w:val="clear" w:color="auto" w:fill="auto"/>
            <w:noWrap/>
            <w:vAlign w:val="center"/>
          </w:tcPr>
          <w:p w14:paraId="6E1F02DF" w14:textId="3FE506C9" w:rsidR="00056893" w:rsidRPr="00F55BDF" w:rsidRDefault="00303D3F"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0 ha d’APC avec l</w:t>
            </w:r>
            <w:r w:rsidR="00056893" w:rsidRPr="00F55BDF">
              <w:rPr>
                <w:rFonts w:eastAsia="Times New Roman" w:cstheme="minorHAnsi"/>
                <w:i/>
                <w:color w:val="000000"/>
                <w:sz w:val="20"/>
                <w:szCs w:val="20"/>
                <w:lang w:eastAsia="fr-FR"/>
              </w:rPr>
              <w:t>’identification des sites potentiels achevée au début du projet</w:t>
            </w:r>
          </w:p>
        </w:tc>
        <w:tc>
          <w:tcPr>
            <w:tcW w:w="961" w:type="pct"/>
            <w:tcBorders>
              <w:top w:val="nil"/>
              <w:left w:val="nil"/>
              <w:bottom w:val="single" w:sz="4" w:space="0" w:color="auto"/>
              <w:right w:val="single" w:sz="4" w:space="0" w:color="auto"/>
            </w:tcBorders>
            <w:shd w:val="clear" w:color="auto" w:fill="auto"/>
            <w:vAlign w:val="center"/>
          </w:tcPr>
          <w:p w14:paraId="6F766BBA" w14:textId="525A974E" w:rsidR="00303D3F" w:rsidRPr="00F55BDF" w:rsidRDefault="00303D3F"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5A1CA8" w:rsidRPr="00F55BDF">
              <w:rPr>
                <w:rFonts w:eastAsia="Times New Roman" w:cstheme="minorHAnsi"/>
                <w:color w:val="000000"/>
                <w:sz w:val="20"/>
                <w:szCs w:val="20"/>
                <w:lang w:eastAsia="fr-FR"/>
              </w:rPr>
              <w:t xml:space="preserve">dossiers de demande de mise en protection temporaire des 07 APC déposés à la DGRNE </w:t>
            </w:r>
          </w:p>
          <w:p w14:paraId="554A0386" w14:textId="0EA873FD" w:rsidR="00303D3F" w:rsidRPr="00F55BDF" w:rsidRDefault="00303D3F"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2020 : arrêtés de mise en protection temporaires des 07 APC avec au moins 100 000 ha</w:t>
            </w:r>
          </w:p>
          <w:p w14:paraId="36BE243E" w14:textId="2B0AB838" w:rsidR="00056893" w:rsidRPr="00F55BDF" w:rsidRDefault="00056893"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2022 : au moins 100 000 ha protégés</w:t>
            </w:r>
          </w:p>
        </w:tc>
        <w:tc>
          <w:tcPr>
            <w:tcW w:w="841" w:type="pct"/>
            <w:tcBorders>
              <w:top w:val="single" w:sz="4" w:space="0" w:color="auto"/>
              <w:left w:val="nil"/>
              <w:bottom w:val="single" w:sz="4" w:space="0" w:color="auto"/>
              <w:right w:val="single" w:sz="4" w:space="0" w:color="auto"/>
            </w:tcBorders>
            <w:vAlign w:val="center"/>
          </w:tcPr>
          <w:p w14:paraId="4AD603DD" w14:textId="257F7D8A" w:rsidR="005A1CA8" w:rsidRPr="00F55BDF" w:rsidRDefault="005A1CA8"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Oui, dossiers de demande de mise en protection temporaire des 07 APC déposés à la DGRNE avec </w:t>
            </w:r>
          </w:p>
          <w:p w14:paraId="3781227C" w14:textId="461636D3" w:rsidR="00056893" w:rsidRPr="00F55BDF" w:rsidRDefault="00056893"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1</w:t>
            </w:r>
            <w:r w:rsidR="006C5072" w:rsidRPr="00F55BDF">
              <w:rPr>
                <w:rFonts w:eastAsia="Times New Roman" w:cstheme="minorHAnsi"/>
                <w:color w:val="000000"/>
                <w:sz w:val="20"/>
                <w:szCs w:val="20"/>
                <w:lang w:eastAsia="fr-FR"/>
              </w:rPr>
              <w:t>31 907</w:t>
            </w:r>
            <w:r w:rsidRPr="00F55BDF">
              <w:rPr>
                <w:rFonts w:eastAsia="Times New Roman" w:cstheme="minorHAnsi"/>
                <w:color w:val="000000"/>
                <w:sz w:val="20"/>
                <w:szCs w:val="20"/>
                <w:lang w:eastAsia="fr-FR"/>
              </w:rPr>
              <w:t xml:space="preserve"> ha </w:t>
            </w:r>
            <w:proofErr w:type="spellStart"/>
            <w:r w:rsidRPr="00F55BDF">
              <w:rPr>
                <w:rFonts w:eastAsia="Times New Roman" w:cstheme="minorHAnsi"/>
                <w:color w:val="000000"/>
                <w:sz w:val="20"/>
                <w:szCs w:val="20"/>
                <w:lang w:eastAsia="fr-FR"/>
              </w:rPr>
              <w:t>prédélimités</w:t>
            </w:r>
            <w:proofErr w:type="spellEnd"/>
            <w:r w:rsidRPr="00F55BDF">
              <w:rPr>
                <w:rFonts w:eastAsia="Times New Roman" w:cstheme="minorHAnsi"/>
                <w:color w:val="000000"/>
                <w:sz w:val="20"/>
                <w:szCs w:val="20"/>
                <w:lang w:eastAsia="fr-FR"/>
              </w:rPr>
              <w:t xml:space="preserve">, </w:t>
            </w:r>
          </w:p>
        </w:tc>
        <w:tc>
          <w:tcPr>
            <w:tcW w:w="486" w:type="pct"/>
            <w:tcBorders>
              <w:top w:val="nil"/>
              <w:left w:val="nil"/>
              <w:bottom w:val="single" w:sz="4" w:space="0" w:color="auto"/>
              <w:right w:val="single" w:sz="4" w:space="0" w:color="auto"/>
            </w:tcBorders>
            <w:shd w:val="clear" w:color="auto" w:fill="auto"/>
            <w:noWrap/>
            <w:vAlign w:val="center"/>
          </w:tcPr>
          <w:p w14:paraId="4517E9F7" w14:textId="66191C77" w:rsidR="00303D3F" w:rsidRPr="00F55BDF" w:rsidRDefault="00303D3F"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Consultation des documents de création</w:t>
            </w:r>
          </w:p>
          <w:p w14:paraId="7014BF38" w14:textId="6C65E482" w:rsidR="00056893" w:rsidRPr="00F55BDF" w:rsidRDefault="00056893" w:rsidP="004002FD">
            <w:pPr>
              <w:spacing w:after="0" w:line="240" w:lineRule="auto"/>
              <w:rPr>
                <w:rFonts w:eastAsia="Times New Roman" w:cstheme="minorHAnsi"/>
                <w:color w:val="000000"/>
                <w:sz w:val="20"/>
                <w:szCs w:val="20"/>
                <w:lang w:eastAsia="fr-FR"/>
              </w:rPr>
            </w:pPr>
          </w:p>
        </w:tc>
        <w:tc>
          <w:tcPr>
            <w:tcW w:w="487" w:type="pct"/>
            <w:tcBorders>
              <w:top w:val="nil"/>
              <w:left w:val="nil"/>
              <w:bottom w:val="single" w:sz="4" w:space="0" w:color="auto"/>
              <w:right w:val="single" w:sz="4" w:space="0" w:color="auto"/>
            </w:tcBorders>
            <w:vAlign w:val="center"/>
          </w:tcPr>
          <w:p w14:paraId="66F8AED1" w14:textId="5FEBD545" w:rsidR="00056893" w:rsidRPr="00F55BDF" w:rsidRDefault="00303D3F"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Décrets de mise en protection temporaire et définitif</w:t>
            </w:r>
          </w:p>
        </w:tc>
      </w:tr>
      <w:tr w:rsidR="00056893" w:rsidRPr="00F55BDF" w14:paraId="1A21D8C5" w14:textId="77777777" w:rsidTr="00D704B5">
        <w:trPr>
          <w:trHeight w:val="1852"/>
        </w:trPr>
        <w:tc>
          <w:tcPr>
            <w:tcW w:w="487" w:type="pct"/>
            <w:vMerge/>
            <w:tcBorders>
              <w:left w:val="single" w:sz="4" w:space="0" w:color="auto"/>
              <w:right w:val="single" w:sz="4" w:space="0" w:color="auto"/>
            </w:tcBorders>
            <w:shd w:val="clear" w:color="auto" w:fill="auto"/>
            <w:vAlign w:val="center"/>
          </w:tcPr>
          <w:p w14:paraId="512DF5BF" w14:textId="77777777" w:rsidR="00056893" w:rsidRPr="00F55BDF" w:rsidRDefault="00056893"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6B39884F" w14:textId="463B9964" w:rsidR="00056893" w:rsidRPr="00F55BDF" w:rsidRDefault="00056893" w:rsidP="00356E7B">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2 :</w:t>
            </w:r>
            <w:r w:rsidR="006C5072" w:rsidRPr="00F55BDF">
              <w:rPr>
                <w:rFonts w:eastAsia="Times New Roman" w:cstheme="minorHAnsi"/>
                <w:i/>
                <w:iCs/>
                <w:color w:val="000000"/>
                <w:sz w:val="20"/>
                <w:szCs w:val="20"/>
                <w:lang w:eastAsia="fr-FR"/>
              </w:rPr>
              <w:t xml:space="preserve"> (b) : Superficie de forêts denses sèches sécurisées dans l</w:t>
            </w:r>
            <w:r w:rsidR="00356E7B" w:rsidRPr="00F55BDF">
              <w:rPr>
                <w:rFonts w:eastAsia="Times New Roman" w:cstheme="minorHAnsi"/>
                <w:i/>
                <w:iCs/>
                <w:color w:val="000000"/>
                <w:sz w:val="20"/>
                <w:szCs w:val="20"/>
                <w:lang w:eastAsia="fr-FR"/>
              </w:rPr>
              <w:t xml:space="preserve">es </w:t>
            </w:r>
            <w:r w:rsidR="006C5072" w:rsidRPr="00F55BDF">
              <w:rPr>
                <w:rFonts w:eastAsia="Times New Roman" w:cstheme="minorHAnsi"/>
                <w:i/>
                <w:iCs/>
                <w:color w:val="000000"/>
                <w:sz w:val="20"/>
                <w:szCs w:val="20"/>
                <w:lang w:eastAsia="fr-FR"/>
              </w:rPr>
              <w:t>APC</w:t>
            </w:r>
          </w:p>
        </w:tc>
        <w:tc>
          <w:tcPr>
            <w:tcW w:w="915" w:type="pct"/>
            <w:tcBorders>
              <w:top w:val="nil"/>
              <w:left w:val="nil"/>
              <w:bottom w:val="single" w:sz="4" w:space="0" w:color="auto"/>
              <w:right w:val="single" w:sz="4" w:space="0" w:color="auto"/>
            </w:tcBorders>
            <w:shd w:val="clear" w:color="auto" w:fill="auto"/>
            <w:noWrap/>
            <w:vAlign w:val="center"/>
          </w:tcPr>
          <w:p w14:paraId="192F3C6E" w14:textId="586E5042" w:rsidR="00056893" w:rsidRPr="00F55BDF" w:rsidRDefault="006C5072"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0</w:t>
            </w:r>
            <w:r w:rsidR="00356E7B" w:rsidRPr="00F55BDF">
              <w:rPr>
                <w:rFonts w:eastAsia="Times New Roman" w:cstheme="minorHAnsi"/>
                <w:i/>
                <w:color w:val="000000"/>
                <w:sz w:val="20"/>
                <w:szCs w:val="20"/>
                <w:lang w:eastAsia="fr-FR"/>
              </w:rPr>
              <w:t xml:space="preserve"> </w:t>
            </w:r>
            <w:r w:rsidRPr="00F55BDF">
              <w:rPr>
                <w:rFonts w:eastAsia="Times New Roman" w:cstheme="minorHAnsi"/>
                <w:i/>
                <w:color w:val="000000"/>
                <w:sz w:val="20"/>
                <w:szCs w:val="20"/>
                <w:lang w:eastAsia="fr-FR"/>
              </w:rPr>
              <w:t xml:space="preserve">ha </w:t>
            </w:r>
          </w:p>
        </w:tc>
        <w:tc>
          <w:tcPr>
            <w:tcW w:w="961" w:type="pct"/>
            <w:tcBorders>
              <w:top w:val="nil"/>
              <w:left w:val="nil"/>
              <w:bottom w:val="single" w:sz="4" w:space="0" w:color="auto"/>
              <w:right w:val="single" w:sz="4" w:space="0" w:color="auto"/>
            </w:tcBorders>
            <w:shd w:val="clear" w:color="auto" w:fill="auto"/>
            <w:vAlign w:val="center"/>
          </w:tcPr>
          <w:p w14:paraId="35E9CFC9" w14:textId="77777777" w:rsidR="00D704B5" w:rsidRPr="00F55BDF" w:rsidRDefault="00056893" w:rsidP="00D704B5">
            <w:pPr>
              <w:spacing w:after="0"/>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356E7B" w:rsidRPr="00F55BDF">
              <w:rPr>
                <w:rFonts w:eastAsia="Times New Roman" w:cstheme="minorHAnsi"/>
                <w:color w:val="000000"/>
                <w:sz w:val="20"/>
                <w:szCs w:val="20"/>
                <w:lang w:eastAsia="fr-FR"/>
              </w:rPr>
              <w:t xml:space="preserve">au moins 20 000 ha inclus dans la délimitation des 07 APC et à sécuriser dans le zonage des Plan d’Aménagement et de Gestion (PAG). </w:t>
            </w:r>
          </w:p>
          <w:p w14:paraId="37A89498" w14:textId="4DE3C42D" w:rsidR="00056893" w:rsidRPr="00F55BDF" w:rsidRDefault="00056893" w:rsidP="00D704B5">
            <w:pPr>
              <w:spacing w:after="0"/>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2022 : </w:t>
            </w:r>
            <w:r w:rsidR="006C5072" w:rsidRPr="00F55BDF">
              <w:rPr>
                <w:rFonts w:eastAsia="Times New Roman" w:cstheme="minorHAnsi"/>
                <w:color w:val="000000"/>
                <w:sz w:val="20"/>
                <w:szCs w:val="20"/>
                <w:lang w:eastAsia="fr-FR"/>
              </w:rPr>
              <w:t xml:space="preserve">20 000 ha </w:t>
            </w:r>
          </w:p>
        </w:tc>
        <w:tc>
          <w:tcPr>
            <w:tcW w:w="841" w:type="pct"/>
            <w:tcBorders>
              <w:top w:val="single" w:sz="4" w:space="0" w:color="auto"/>
              <w:left w:val="nil"/>
              <w:bottom w:val="single" w:sz="4" w:space="0" w:color="auto"/>
              <w:right w:val="single" w:sz="4" w:space="0" w:color="auto"/>
            </w:tcBorders>
          </w:tcPr>
          <w:p w14:paraId="79AE9D84" w14:textId="46E0DBD9" w:rsidR="00056893" w:rsidRPr="00F55BDF" w:rsidRDefault="006C5072" w:rsidP="00356E7B">
            <w:pPr>
              <w:rPr>
                <w:rFonts w:eastAsia="Times New Roman" w:cstheme="minorHAnsi"/>
                <w:color w:val="000000"/>
                <w:sz w:val="20"/>
                <w:szCs w:val="20"/>
                <w:lang w:eastAsia="fr-FR"/>
              </w:rPr>
            </w:pPr>
            <w:r w:rsidRPr="00F55BDF">
              <w:rPr>
                <w:rFonts w:cstheme="minorHAnsi"/>
                <w:bCs/>
                <w:sz w:val="20"/>
                <w:szCs w:val="20"/>
              </w:rPr>
              <w:t xml:space="preserve">2019 : 24 610 ha de forêt denses </w:t>
            </w:r>
            <w:r w:rsidR="00356E7B" w:rsidRPr="00F55BDF">
              <w:rPr>
                <w:rFonts w:cstheme="minorHAnsi"/>
                <w:bCs/>
                <w:sz w:val="20"/>
                <w:szCs w:val="20"/>
              </w:rPr>
              <w:t>proposées à être des Noyaux Durs des 07 APC dans le zonage des PAG. (</w:t>
            </w:r>
            <w:proofErr w:type="gramStart"/>
            <w:r w:rsidR="00356E7B" w:rsidRPr="00F55BDF">
              <w:rPr>
                <w:rFonts w:cstheme="minorHAnsi"/>
                <w:bCs/>
                <w:sz w:val="20"/>
                <w:szCs w:val="20"/>
              </w:rPr>
              <w:t>oui</w:t>
            </w:r>
            <w:proofErr w:type="gramEnd"/>
            <w:r w:rsidR="00356E7B" w:rsidRPr="00F55BDF">
              <w:rPr>
                <w:rFonts w:cstheme="minorHAnsi"/>
                <w:bCs/>
                <w:sz w:val="20"/>
                <w:szCs w:val="20"/>
              </w:rPr>
              <w:t>)</w:t>
            </w:r>
          </w:p>
        </w:tc>
        <w:tc>
          <w:tcPr>
            <w:tcW w:w="486" w:type="pct"/>
            <w:tcBorders>
              <w:top w:val="nil"/>
              <w:left w:val="nil"/>
              <w:bottom w:val="single" w:sz="4" w:space="0" w:color="auto"/>
              <w:right w:val="single" w:sz="4" w:space="0" w:color="auto"/>
            </w:tcBorders>
            <w:shd w:val="clear" w:color="auto" w:fill="auto"/>
            <w:noWrap/>
            <w:vAlign w:val="center"/>
          </w:tcPr>
          <w:p w14:paraId="4A090D7D" w14:textId="12412461" w:rsidR="00056893" w:rsidRPr="00F55BDF" w:rsidRDefault="00356E7B" w:rsidP="00356E7B">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Vérification des documents, descentes sur terrain.</w:t>
            </w:r>
          </w:p>
        </w:tc>
        <w:tc>
          <w:tcPr>
            <w:tcW w:w="487" w:type="pct"/>
            <w:tcBorders>
              <w:top w:val="nil"/>
              <w:left w:val="nil"/>
              <w:bottom w:val="single" w:sz="4" w:space="0" w:color="auto"/>
              <w:right w:val="single" w:sz="4" w:space="0" w:color="auto"/>
            </w:tcBorders>
          </w:tcPr>
          <w:p w14:paraId="40ED558C" w14:textId="77777777" w:rsidR="00056893" w:rsidRPr="00F55BDF" w:rsidRDefault="00056893" w:rsidP="00356E7B">
            <w:pPr>
              <w:spacing w:after="0" w:line="240" w:lineRule="auto"/>
              <w:rPr>
                <w:rFonts w:cstheme="minorHAnsi"/>
                <w:bCs/>
                <w:sz w:val="20"/>
                <w:szCs w:val="20"/>
              </w:rPr>
            </w:pPr>
          </w:p>
          <w:p w14:paraId="6BF7BD30" w14:textId="1E330A62" w:rsidR="00056893" w:rsidRPr="00F55BDF" w:rsidRDefault="00356E7B" w:rsidP="00356E7B">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Documents de zonage et PAG</w:t>
            </w:r>
          </w:p>
        </w:tc>
      </w:tr>
      <w:tr w:rsidR="00056893" w:rsidRPr="00F55BDF" w14:paraId="3EC46345" w14:textId="77777777" w:rsidTr="00356E7B">
        <w:trPr>
          <w:trHeight w:val="1001"/>
        </w:trPr>
        <w:tc>
          <w:tcPr>
            <w:tcW w:w="487" w:type="pct"/>
            <w:vMerge/>
            <w:tcBorders>
              <w:left w:val="single" w:sz="4" w:space="0" w:color="auto"/>
              <w:right w:val="single" w:sz="4" w:space="0" w:color="auto"/>
            </w:tcBorders>
            <w:shd w:val="clear" w:color="auto" w:fill="auto"/>
            <w:vAlign w:val="center"/>
          </w:tcPr>
          <w:p w14:paraId="1F85BAA3" w14:textId="77777777" w:rsidR="00056893" w:rsidRPr="00F55BDF" w:rsidRDefault="00056893" w:rsidP="004002FD">
            <w:pPr>
              <w:spacing w:after="0" w:line="240" w:lineRule="auto"/>
              <w:rPr>
                <w:rFonts w:eastAsia="Times New Roman" w:cstheme="minorHAnsi"/>
                <w:i/>
                <w:iCs/>
                <w:color w:val="000000"/>
                <w:sz w:val="20"/>
                <w:szCs w:val="20"/>
                <w:lang w:eastAsia="fr-FR"/>
              </w:rPr>
            </w:pPr>
          </w:p>
        </w:tc>
        <w:tc>
          <w:tcPr>
            <w:tcW w:w="823" w:type="pct"/>
            <w:tcBorders>
              <w:top w:val="nil"/>
              <w:left w:val="nil"/>
              <w:bottom w:val="single" w:sz="4" w:space="0" w:color="auto"/>
              <w:right w:val="single" w:sz="4" w:space="0" w:color="auto"/>
            </w:tcBorders>
            <w:shd w:val="clear" w:color="auto" w:fill="auto"/>
            <w:vAlign w:val="center"/>
          </w:tcPr>
          <w:p w14:paraId="6855B41D" w14:textId="3F4B2075" w:rsidR="00056893" w:rsidRPr="00F55BDF" w:rsidRDefault="00056893" w:rsidP="00356E7B">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3 : </w:t>
            </w:r>
            <w:r w:rsidR="00356E7B" w:rsidRPr="00F55BDF">
              <w:rPr>
                <w:rFonts w:eastAsia="Times New Roman" w:cstheme="minorHAnsi"/>
                <w:i/>
                <w:iCs/>
                <w:color w:val="000000"/>
                <w:sz w:val="20"/>
                <w:szCs w:val="20"/>
                <w:lang w:eastAsia="fr-FR"/>
              </w:rPr>
              <w:t>(c) : Nombre d’APC incluses dans le SAC</w:t>
            </w:r>
          </w:p>
        </w:tc>
        <w:tc>
          <w:tcPr>
            <w:tcW w:w="915" w:type="pct"/>
            <w:tcBorders>
              <w:top w:val="nil"/>
              <w:left w:val="nil"/>
              <w:bottom w:val="single" w:sz="4" w:space="0" w:color="auto"/>
              <w:right w:val="single" w:sz="4" w:space="0" w:color="auto"/>
            </w:tcBorders>
            <w:shd w:val="clear" w:color="auto" w:fill="auto"/>
            <w:noWrap/>
            <w:vAlign w:val="center"/>
          </w:tcPr>
          <w:p w14:paraId="3AEB9F84" w14:textId="6C7766E1" w:rsidR="00056893" w:rsidRPr="00F55BDF" w:rsidRDefault="00356E7B"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2017 :0 APC </w:t>
            </w:r>
          </w:p>
        </w:tc>
        <w:tc>
          <w:tcPr>
            <w:tcW w:w="961" w:type="pct"/>
            <w:tcBorders>
              <w:top w:val="nil"/>
              <w:left w:val="nil"/>
              <w:bottom w:val="single" w:sz="4" w:space="0" w:color="auto"/>
              <w:right w:val="single" w:sz="4" w:space="0" w:color="auto"/>
            </w:tcBorders>
            <w:shd w:val="clear" w:color="auto" w:fill="auto"/>
            <w:vAlign w:val="center"/>
          </w:tcPr>
          <w:p w14:paraId="17D0D84C" w14:textId="18767960" w:rsidR="00383FB7" w:rsidRPr="00F55BDF" w:rsidRDefault="00383FB7" w:rsidP="00356E7B">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2019 : une convention de collaboration signée avec MAHTP pour l’élaboration des SAC de 06 Communes rurales.</w:t>
            </w:r>
          </w:p>
          <w:p w14:paraId="0DC0644A" w14:textId="01543DBB" w:rsidR="00056893" w:rsidRPr="00F55BDF" w:rsidRDefault="00056893" w:rsidP="00356E7B">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2022 : </w:t>
            </w:r>
            <w:r w:rsidR="00356E7B" w:rsidRPr="00F55BDF">
              <w:rPr>
                <w:rFonts w:eastAsia="Times New Roman" w:cstheme="minorHAnsi"/>
                <w:i/>
                <w:color w:val="000000"/>
                <w:sz w:val="20"/>
                <w:szCs w:val="20"/>
                <w:lang w:eastAsia="fr-FR"/>
              </w:rPr>
              <w:t xml:space="preserve">06 APC </w:t>
            </w:r>
          </w:p>
        </w:tc>
        <w:tc>
          <w:tcPr>
            <w:tcW w:w="841" w:type="pct"/>
            <w:tcBorders>
              <w:top w:val="single" w:sz="4" w:space="0" w:color="auto"/>
              <w:left w:val="nil"/>
              <w:bottom w:val="single" w:sz="4" w:space="0" w:color="auto"/>
              <w:right w:val="single" w:sz="4" w:space="0" w:color="auto"/>
            </w:tcBorders>
            <w:vAlign w:val="center"/>
          </w:tcPr>
          <w:p w14:paraId="28D435F6" w14:textId="64E0103F" w:rsidR="00056893" w:rsidRPr="00F55BDF" w:rsidRDefault="00383FB7"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 (oui) 04 APC concernées par l’élaboration des SAC de 06 Communes Rurales. Convention de collaboration avec le Ministère MAHTP</w:t>
            </w:r>
          </w:p>
        </w:tc>
        <w:tc>
          <w:tcPr>
            <w:tcW w:w="486" w:type="pct"/>
            <w:tcBorders>
              <w:top w:val="nil"/>
              <w:left w:val="nil"/>
              <w:bottom w:val="single" w:sz="4" w:space="0" w:color="auto"/>
              <w:right w:val="single" w:sz="4" w:space="0" w:color="auto"/>
            </w:tcBorders>
            <w:shd w:val="clear" w:color="auto" w:fill="auto"/>
            <w:noWrap/>
            <w:vAlign w:val="center"/>
          </w:tcPr>
          <w:p w14:paraId="7026F85A" w14:textId="05333D50" w:rsidR="00056893" w:rsidRPr="00F55BDF" w:rsidRDefault="00356E7B"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Consultation des SAC</w:t>
            </w:r>
          </w:p>
        </w:tc>
        <w:tc>
          <w:tcPr>
            <w:tcW w:w="487" w:type="pct"/>
            <w:tcBorders>
              <w:top w:val="nil"/>
              <w:left w:val="nil"/>
              <w:bottom w:val="single" w:sz="4" w:space="0" w:color="auto"/>
              <w:right w:val="single" w:sz="4" w:space="0" w:color="auto"/>
            </w:tcBorders>
            <w:vAlign w:val="center"/>
          </w:tcPr>
          <w:p w14:paraId="22129AAB" w14:textId="67B79FDC" w:rsidR="00056893" w:rsidRPr="00F55BDF" w:rsidRDefault="00356E7B"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SAC des communes dans le paysage</w:t>
            </w:r>
          </w:p>
        </w:tc>
      </w:tr>
      <w:tr w:rsidR="00056893" w:rsidRPr="00F55BDF" w14:paraId="2203D164" w14:textId="77777777" w:rsidTr="0071796C">
        <w:trPr>
          <w:trHeight w:val="705"/>
        </w:trPr>
        <w:tc>
          <w:tcPr>
            <w:tcW w:w="487" w:type="pct"/>
            <w:vMerge/>
            <w:tcBorders>
              <w:left w:val="single" w:sz="4" w:space="0" w:color="auto"/>
              <w:right w:val="single" w:sz="4" w:space="0" w:color="auto"/>
            </w:tcBorders>
            <w:shd w:val="clear" w:color="auto" w:fill="auto"/>
            <w:vAlign w:val="center"/>
          </w:tcPr>
          <w:p w14:paraId="0F211D0B" w14:textId="77777777" w:rsidR="00056893" w:rsidRPr="00F55BDF" w:rsidRDefault="00056893" w:rsidP="004002FD">
            <w:pPr>
              <w:spacing w:after="0" w:line="240" w:lineRule="auto"/>
              <w:rPr>
                <w:rFonts w:eastAsia="Times New Roman" w:cstheme="minorHAnsi"/>
                <w:i/>
                <w:iCs/>
                <w:color w:val="000000"/>
                <w:sz w:val="20"/>
                <w:szCs w:val="20"/>
                <w:lang w:eastAsia="fr-FR"/>
              </w:rPr>
            </w:pPr>
          </w:p>
        </w:tc>
        <w:tc>
          <w:tcPr>
            <w:tcW w:w="823" w:type="pct"/>
            <w:tcBorders>
              <w:top w:val="single" w:sz="4" w:space="0" w:color="auto"/>
              <w:left w:val="nil"/>
              <w:bottom w:val="single" w:sz="4" w:space="0" w:color="auto"/>
              <w:right w:val="single" w:sz="4" w:space="0" w:color="auto"/>
            </w:tcBorders>
            <w:shd w:val="clear" w:color="auto" w:fill="auto"/>
            <w:vAlign w:val="center"/>
            <w:hideMark/>
          </w:tcPr>
          <w:p w14:paraId="54A33915" w14:textId="7F4977AD" w:rsidR="00383FB7" w:rsidRPr="00F55BDF" w:rsidRDefault="00056893"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4 : </w:t>
            </w:r>
            <w:r w:rsidR="00383FB7" w:rsidRPr="00F55BDF">
              <w:rPr>
                <w:rFonts w:eastAsia="Times New Roman" w:cstheme="minorHAnsi"/>
                <w:i/>
                <w:iCs/>
                <w:color w:val="000000"/>
                <w:sz w:val="20"/>
                <w:szCs w:val="20"/>
                <w:lang w:eastAsia="fr-FR"/>
              </w:rPr>
              <w:t>(d) : Existence de normes et règlementations communautaires aux fins de l’utilisation durable des ressources naturelles dans les APC</w:t>
            </w:r>
          </w:p>
          <w:p w14:paraId="0463F3B6" w14:textId="408126ED" w:rsidR="00056893" w:rsidRPr="00F55BDF" w:rsidRDefault="00056893" w:rsidP="004002FD">
            <w:pPr>
              <w:spacing w:after="0" w:line="240" w:lineRule="auto"/>
              <w:rPr>
                <w:rFonts w:eastAsia="Times New Roman" w:cstheme="minorHAnsi"/>
                <w:i/>
                <w:iCs/>
                <w:color w:val="000000"/>
                <w:sz w:val="20"/>
                <w:szCs w:val="20"/>
                <w:lang w:eastAsia="fr-FR"/>
              </w:rPr>
            </w:pPr>
          </w:p>
        </w:tc>
        <w:tc>
          <w:tcPr>
            <w:tcW w:w="915" w:type="pct"/>
            <w:tcBorders>
              <w:top w:val="single" w:sz="4" w:space="0" w:color="auto"/>
              <w:left w:val="nil"/>
              <w:bottom w:val="single" w:sz="4" w:space="0" w:color="auto"/>
              <w:right w:val="single" w:sz="4" w:space="0" w:color="auto"/>
            </w:tcBorders>
            <w:shd w:val="clear" w:color="auto" w:fill="auto"/>
            <w:noWrap/>
            <w:vAlign w:val="center"/>
            <w:hideMark/>
          </w:tcPr>
          <w:p w14:paraId="09892FE3" w14:textId="48B093DA" w:rsidR="00056893" w:rsidRPr="00F55BDF" w:rsidRDefault="003B5DDF"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non</w:t>
            </w:r>
          </w:p>
        </w:tc>
        <w:tc>
          <w:tcPr>
            <w:tcW w:w="961" w:type="pct"/>
            <w:tcBorders>
              <w:top w:val="single" w:sz="4" w:space="0" w:color="auto"/>
              <w:left w:val="nil"/>
              <w:bottom w:val="single" w:sz="4" w:space="0" w:color="auto"/>
              <w:right w:val="single" w:sz="4" w:space="0" w:color="auto"/>
            </w:tcBorders>
            <w:shd w:val="clear" w:color="auto" w:fill="auto"/>
            <w:vAlign w:val="center"/>
          </w:tcPr>
          <w:p w14:paraId="6EFED5BA" w14:textId="7E190182" w:rsidR="00056893" w:rsidRPr="00F55BDF" w:rsidRDefault="003B5DDF"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2022 : oui</w:t>
            </w:r>
            <w:r w:rsidR="00DC7454" w:rsidRPr="00F55BDF">
              <w:rPr>
                <w:rFonts w:eastAsia="Times New Roman" w:cstheme="minorHAnsi"/>
                <w:i/>
                <w:color w:val="000000"/>
                <w:sz w:val="20"/>
                <w:szCs w:val="20"/>
                <w:lang w:eastAsia="fr-FR"/>
              </w:rPr>
              <w:t xml:space="preserve"> (Dina)</w:t>
            </w:r>
            <w:r w:rsidR="003370DA" w:rsidRPr="00F55BDF">
              <w:rPr>
                <w:rFonts w:eastAsia="Times New Roman" w:cstheme="minorHAnsi"/>
                <w:i/>
                <w:color w:val="000000"/>
                <w:sz w:val="20"/>
                <w:szCs w:val="20"/>
                <w:lang w:eastAsia="fr-FR"/>
              </w:rPr>
              <w:t xml:space="preserve"> convention sociale par APC qui sert d’outil de gestion concernant l’organisation et les règlementations sur l’utilisation durable des ressources naturelles dans et autour de l’APC. </w:t>
            </w:r>
          </w:p>
        </w:tc>
        <w:tc>
          <w:tcPr>
            <w:tcW w:w="841" w:type="pct"/>
            <w:tcBorders>
              <w:top w:val="single" w:sz="4" w:space="0" w:color="auto"/>
              <w:left w:val="nil"/>
              <w:bottom w:val="single" w:sz="4" w:space="0" w:color="auto"/>
              <w:right w:val="single" w:sz="4" w:space="0" w:color="auto"/>
            </w:tcBorders>
          </w:tcPr>
          <w:p w14:paraId="309ED1EA" w14:textId="4B35639C" w:rsidR="00056893" w:rsidRPr="00F55BDF" w:rsidRDefault="00DC7454"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w:t>
            </w:r>
            <w:r w:rsidR="003370DA" w:rsidRPr="00F55BDF">
              <w:rPr>
                <w:rFonts w:eastAsia="Times New Roman" w:cstheme="minorHAnsi"/>
                <w:color w:val="000000"/>
                <w:sz w:val="20"/>
                <w:szCs w:val="20"/>
                <w:lang w:eastAsia="fr-FR"/>
              </w:rPr>
              <w:t xml:space="preserve">réalisé à </w:t>
            </w:r>
            <w:r w:rsidR="00D704B5" w:rsidRPr="00F55BDF">
              <w:rPr>
                <w:rFonts w:eastAsia="Times New Roman" w:cstheme="minorHAnsi"/>
                <w:color w:val="000000"/>
                <w:sz w:val="20"/>
                <w:szCs w:val="20"/>
                <w:lang w:eastAsia="fr-FR"/>
              </w:rPr>
              <w:t>9</w:t>
            </w:r>
            <w:r w:rsidR="003370DA" w:rsidRPr="00F55BDF">
              <w:rPr>
                <w:rFonts w:eastAsia="Times New Roman" w:cstheme="minorHAnsi"/>
                <w:color w:val="000000"/>
                <w:sz w:val="20"/>
                <w:szCs w:val="20"/>
                <w:lang w:eastAsia="fr-FR"/>
              </w:rPr>
              <w:t xml:space="preserve">0% </w:t>
            </w:r>
          </w:p>
          <w:p w14:paraId="1D331521" w14:textId="7A6F2668" w:rsidR="003370DA" w:rsidRPr="00F55BDF" w:rsidRDefault="003370DA"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Explication : les 07 APC ont chacune leur Dina dont le processus est </w:t>
            </w:r>
            <w:r w:rsidR="00D704B5" w:rsidRPr="00F55BDF">
              <w:rPr>
                <w:rFonts w:eastAsia="Times New Roman" w:cstheme="minorHAnsi"/>
                <w:color w:val="000000"/>
                <w:sz w:val="20"/>
                <w:szCs w:val="20"/>
                <w:lang w:eastAsia="fr-FR"/>
              </w:rPr>
              <w:t>à 90% de toutes les étapes, y compris la communication. Il ne reste plus que l’homologation auprès du Tribunal de 1</w:t>
            </w:r>
            <w:r w:rsidR="00D704B5" w:rsidRPr="00F55BDF">
              <w:rPr>
                <w:rFonts w:eastAsia="Times New Roman" w:cstheme="minorHAnsi"/>
                <w:color w:val="000000"/>
                <w:sz w:val="20"/>
                <w:szCs w:val="20"/>
                <w:vertAlign w:val="superscript"/>
                <w:lang w:eastAsia="fr-FR"/>
              </w:rPr>
              <w:t>ère</w:t>
            </w:r>
            <w:r w:rsidR="00D704B5" w:rsidRPr="00F55BDF">
              <w:rPr>
                <w:rFonts w:eastAsia="Times New Roman" w:cstheme="minorHAnsi"/>
                <w:color w:val="000000"/>
                <w:sz w:val="20"/>
                <w:szCs w:val="20"/>
                <w:lang w:eastAsia="fr-FR"/>
              </w:rPr>
              <w:t xml:space="preserve"> instance de Toliara. Activité à finaliser pour 2020.</w:t>
            </w:r>
          </w:p>
        </w:tc>
        <w:tc>
          <w:tcPr>
            <w:tcW w:w="486" w:type="pct"/>
            <w:tcBorders>
              <w:top w:val="single" w:sz="4" w:space="0" w:color="auto"/>
              <w:left w:val="nil"/>
              <w:bottom w:val="single" w:sz="4" w:space="0" w:color="auto"/>
              <w:right w:val="single" w:sz="4" w:space="0" w:color="auto"/>
            </w:tcBorders>
            <w:shd w:val="clear" w:color="auto" w:fill="auto"/>
            <w:noWrap/>
            <w:vAlign w:val="center"/>
          </w:tcPr>
          <w:p w14:paraId="4BBE4EA1" w14:textId="5C9D44FE" w:rsidR="00056893" w:rsidRPr="00F55BDF" w:rsidRDefault="003B5DDF" w:rsidP="003B5DDF">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Vérification des document</w:t>
            </w:r>
          </w:p>
        </w:tc>
        <w:tc>
          <w:tcPr>
            <w:tcW w:w="487" w:type="pct"/>
            <w:tcBorders>
              <w:top w:val="single" w:sz="4" w:space="0" w:color="auto"/>
              <w:left w:val="nil"/>
              <w:bottom w:val="single" w:sz="4" w:space="0" w:color="auto"/>
              <w:right w:val="single" w:sz="4" w:space="0" w:color="auto"/>
            </w:tcBorders>
          </w:tcPr>
          <w:p w14:paraId="25AA1161" w14:textId="77777777" w:rsidR="003B5DDF" w:rsidRPr="00F55BDF" w:rsidRDefault="003B5DDF" w:rsidP="003B5DDF">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Copie des normes et règlementations communautaires validées par les communautés </w:t>
            </w:r>
          </w:p>
          <w:p w14:paraId="5EDB66CE" w14:textId="08698A9C" w:rsidR="00056893" w:rsidRPr="00F55BDF" w:rsidRDefault="003B5DDF" w:rsidP="003B5DDF">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des structures de gestion</w:t>
            </w:r>
          </w:p>
        </w:tc>
      </w:tr>
      <w:tr w:rsidR="00383FB7" w:rsidRPr="00F55BDF" w14:paraId="48D54699" w14:textId="77777777" w:rsidTr="00DC7454">
        <w:trPr>
          <w:trHeight w:val="138"/>
        </w:trPr>
        <w:tc>
          <w:tcPr>
            <w:tcW w:w="487" w:type="pct"/>
            <w:tcBorders>
              <w:left w:val="single" w:sz="4" w:space="0" w:color="auto"/>
              <w:right w:val="single" w:sz="4" w:space="0" w:color="auto"/>
            </w:tcBorders>
            <w:shd w:val="clear" w:color="auto" w:fill="auto"/>
            <w:vAlign w:val="center"/>
          </w:tcPr>
          <w:p w14:paraId="773DBC16" w14:textId="77777777" w:rsidR="00383FB7" w:rsidRPr="00F55BDF" w:rsidRDefault="00383FB7" w:rsidP="004002FD">
            <w:pPr>
              <w:spacing w:after="0" w:line="240" w:lineRule="auto"/>
              <w:rPr>
                <w:rFonts w:eastAsia="Times New Roman" w:cstheme="minorHAnsi"/>
                <w:i/>
                <w:iCs/>
                <w:color w:val="000000"/>
                <w:sz w:val="20"/>
                <w:szCs w:val="20"/>
                <w:lang w:eastAsia="fr-FR"/>
              </w:rPr>
            </w:pPr>
          </w:p>
        </w:tc>
        <w:tc>
          <w:tcPr>
            <w:tcW w:w="823" w:type="pct"/>
            <w:tcBorders>
              <w:top w:val="single" w:sz="4" w:space="0" w:color="auto"/>
              <w:left w:val="nil"/>
              <w:bottom w:val="single" w:sz="4" w:space="0" w:color="auto"/>
              <w:right w:val="single" w:sz="4" w:space="0" w:color="auto"/>
            </w:tcBorders>
            <w:shd w:val="clear" w:color="auto" w:fill="auto"/>
            <w:vAlign w:val="center"/>
          </w:tcPr>
          <w:p w14:paraId="16658AEF" w14:textId="30769F9A" w:rsidR="00383FB7" w:rsidRPr="00F55BDF" w:rsidRDefault="00383FB7"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5 :</w:t>
            </w:r>
            <w:r w:rsidRPr="00F55BDF">
              <w:t xml:space="preserve"> </w:t>
            </w:r>
            <w:r w:rsidRPr="00F55BDF">
              <w:rPr>
                <w:rFonts w:eastAsia="Times New Roman" w:cstheme="minorHAnsi"/>
                <w:i/>
                <w:iCs/>
                <w:color w:val="000000"/>
                <w:sz w:val="20"/>
                <w:szCs w:val="20"/>
                <w:lang w:eastAsia="fr-FR"/>
              </w:rPr>
              <w:t>(e) Score d'efficacité de gestion des APC (</w:t>
            </w:r>
            <w:proofErr w:type="gramStart"/>
            <w:r w:rsidRPr="00F55BDF">
              <w:rPr>
                <w:rFonts w:eastAsia="Times New Roman" w:cstheme="minorHAnsi"/>
                <w:i/>
                <w:iCs/>
                <w:color w:val="000000"/>
                <w:sz w:val="20"/>
                <w:szCs w:val="20"/>
                <w:lang w:eastAsia="fr-FR"/>
              </w:rPr>
              <w:t>réf:</w:t>
            </w:r>
            <w:proofErr w:type="gramEnd"/>
            <w:r w:rsidRPr="00F55BDF">
              <w:rPr>
                <w:rFonts w:eastAsia="Times New Roman" w:cstheme="minorHAnsi"/>
                <w:i/>
                <w:iCs/>
                <w:color w:val="000000"/>
                <w:sz w:val="20"/>
                <w:szCs w:val="20"/>
                <w:lang w:eastAsia="fr-FR"/>
              </w:rPr>
              <w:t xml:space="preserve"> outil METT)  </w:t>
            </w:r>
          </w:p>
        </w:tc>
        <w:tc>
          <w:tcPr>
            <w:tcW w:w="915" w:type="pct"/>
            <w:tcBorders>
              <w:top w:val="single" w:sz="4" w:space="0" w:color="auto"/>
              <w:left w:val="nil"/>
              <w:bottom w:val="single" w:sz="4" w:space="0" w:color="auto"/>
              <w:right w:val="single" w:sz="4" w:space="0" w:color="auto"/>
            </w:tcBorders>
            <w:shd w:val="clear" w:color="auto" w:fill="auto"/>
            <w:noWrap/>
            <w:vAlign w:val="center"/>
          </w:tcPr>
          <w:p w14:paraId="508FBEE0" w14:textId="52B7E640" w:rsidR="00383FB7" w:rsidRPr="00F55BDF" w:rsidRDefault="003B5DDF"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0%</w:t>
            </w:r>
          </w:p>
        </w:tc>
        <w:tc>
          <w:tcPr>
            <w:tcW w:w="961" w:type="pct"/>
            <w:tcBorders>
              <w:top w:val="single" w:sz="4" w:space="0" w:color="auto"/>
              <w:left w:val="nil"/>
              <w:bottom w:val="single" w:sz="4" w:space="0" w:color="auto"/>
              <w:right w:val="single" w:sz="4" w:space="0" w:color="auto"/>
            </w:tcBorders>
            <w:shd w:val="clear" w:color="auto" w:fill="auto"/>
            <w:vAlign w:val="center"/>
          </w:tcPr>
          <w:p w14:paraId="359A7F3A" w14:textId="22A8FBFA" w:rsidR="00383FB7" w:rsidRPr="00F55BDF" w:rsidRDefault="003B5DDF"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2022 : 50%</w:t>
            </w:r>
          </w:p>
        </w:tc>
        <w:tc>
          <w:tcPr>
            <w:tcW w:w="841" w:type="pct"/>
            <w:tcBorders>
              <w:top w:val="single" w:sz="4" w:space="0" w:color="auto"/>
              <w:left w:val="nil"/>
              <w:bottom w:val="single" w:sz="4" w:space="0" w:color="auto"/>
              <w:right w:val="single" w:sz="4" w:space="0" w:color="auto"/>
            </w:tcBorders>
          </w:tcPr>
          <w:p w14:paraId="4D4228C9" w14:textId="77777777" w:rsidR="00383FB7" w:rsidRPr="00F55BDF" w:rsidRDefault="00DC7454"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 N/A</w:t>
            </w:r>
          </w:p>
          <w:p w14:paraId="030FA479" w14:textId="6B3E2CDD" w:rsidR="003370DA" w:rsidRPr="00F55BDF" w:rsidRDefault="003370DA"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Explication : le score METT n’est obtenu qu’après l’obtention de l’arrêté de mise en protection temporaire des 07 APC (Q3 2020). Les outils de gestion tels que PAG, PGESS et Dina sont encore à valider dans Q1 et Q2 2020. </w:t>
            </w:r>
          </w:p>
        </w:tc>
        <w:tc>
          <w:tcPr>
            <w:tcW w:w="486" w:type="pct"/>
            <w:tcBorders>
              <w:top w:val="single" w:sz="4" w:space="0" w:color="auto"/>
              <w:left w:val="nil"/>
              <w:bottom w:val="single" w:sz="4" w:space="0" w:color="auto"/>
              <w:right w:val="single" w:sz="4" w:space="0" w:color="auto"/>
            </w:tcBorders>
            <w:shd w:val="clear" w:color="auto" w:fill="auto"/>
            <w:noWrap/>
            <w:vAlign w:val="center"/>
          </w:tcPr>
          <w:p w14:paraId="324790B8" w14:textId="77777777" w:rsidR="00DC7454"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Collecte et analyse des outils METT</w:t>
            </w:r>
          </w:p>
          <w:p w14:paraId="0A25659D" w14:textId="7E87AA3F" w:rsidR="00383FB7"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Ateliers APC</w:t>
            </w:r>
          </w:p>
        </w:tc>
        <w:tc>
          <w:tcPr>
            <w:tcW w:w="487" w:type="pct"/>
            <w:tcBorders>
              <w:top w:val="single" w:sz="4" w:space="0" w:color="auto"/>
              <w:left w:val="nil"/>
              <w:bottom w:val="single" w:sz="4" w:space="0" w:color="auto"/>
              <w:right w:val="single" w:sz="4" w:space="0" w:color="auto"/>
            </w:tcBorders>
          </w:tcPr>
          <w:p w14:paraId="57B7FF98" w14:textId="00E0CDCD" w:rsidR="00383FB7"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METT</w:t>
            </w:r>
          </w:p>
        </w:tc>
      </w:tr>
      <w:tr w:rsidR="00383FB7" w:rsidRPr="00F55BDF" w14:paraId="59641967" w14:textId="77777777" w:rsidTr="00383FB7">
        <w:trPr>
          <w:trHeight w:val="705"/>
        </w:trPr>
        <w:tc>
          <w:tcPr>
            <w:tcW w:w="487" w:type="pct"/>
            <w:tcBorders>
              <w:left w:val="single" w:sz="4" w:space="0" w:color="auto"/>
              <w:right w:val="single" w:sz="4" w:space="0" w:color="auto"/>
            </w:tcBorders>
            <w:shd w:val="clear" w:color="auto" w:fill="auto"/>
            <w:vAlign w:val="center"/>
          </w:tcPr>
          <w:p w14:paraId="54F34190" w14:textId="77777777" w:rsidR="00383FB7" w:rsidRPr="00F55BDF" w:rsidRDefault="00383FB7" w:rsidP="004002FD">
            <w:pPr>
              <w:spacing w:after="0" w:line="240" w:lineRule="auto"/>
              <w:rPr>
                <w:rFonts w:eastAsia="Times New Roman" w:cstheme="minorHAnsi"/>
                <w:i/>
                <w:iCs/>
                <w:color w:val="000000"/>
                <w:sz w:val="20"/>
                <w:szCs w:val="20"/>
                <w:lang w:eastAsia="fr-FR"/>
              </w:rPr>
            </w:pPr>
          </w:p>
        </w:tc>
        <w:tc>
          <w:tcPr>
            <w:tcW w:w="823" w:type="pct"/>
            <w:tcBorders>
              <w:top w:val="single" w:sz="4" w:space="0" w:color="auto"/>
              <w:left w:val="nil"/>
              <w:bottom w:val="single" w:sz="4" w:space="0" w:color="auto"/>
              <w:right w:val="single" w:sz="4" w:space="0" w:color="auto"/>
            </w:tcBorders>
            <w:shd w:val="clear" w:color="auto" w:fill="auto"/>
            <w:vAlign w:val="center"/>
          </w:tcPr>
          <w:p w14:paraId="1327102D" w14:textId="744F03A6" w:rsidR="00383FB7" w:rsidRPr="00F55BDF" w:rsidRDefault="00383FB7"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6 : (f) : Taux de réalisation des PAG (score minimum par rapport au PAG du METT)</w:t>
            </w:r>
          </w:p>
        </w:tc>
        <w:tc>
          <w:tcPr>
            <w:tcW w:w="915" w:type="pct"/>
            <w:tcBorders>
              <w:top w:val="single" w:sz="4" w:space="0" w:color="auto"/>
              <w:left w:val="nil"/>
              <w:bottom w:val="single" w:sz="4" w:space="0" w:color="auto"/>
              <w:right w:val="single" w:sz="4" w:space="0" w:color="auto"/>
            </w:tcBorders>
            <w:shd w:val="clear" w:color="auto" w:fill="auto"/>
            <w:noWrap/>
            <w:vAlign w:val="center"/>
          </w:tcPr>
          <w:p w14:paraId="5CA4402C" w14:textId="517127C9" w:rsidR="00383FB7" w:rsidRPr="00F55BDF" w:rsidRDefault="00DC7454"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0 sur 6</w:t>
            </w:r>
          </w:p>
        </w:tc>
        <w:tc>
          <w:tcPr>
            <w:tcW w:w="961" w:type="pct"/>
            <w:tcBorders>
              <w:top w:val="single" w:sz="4" w:space="0" w:color="auto"/>
              <w:left w:val="nil"/>
              <w:bottom w:val="single" w:sz="4" w:space="0" w:color="auto"/>
              <w:right w:val="single" w:sz="4" w:space="0" w:color="auto"/>
            </w:tcBorders>
            <w:shd w:val="clear" w:color="auto" w:fill="auto"/>
            <w:vAlign w:val="center"/>
          </w:tcPr>
          <w:p w14:paraId="243ED02C" w14:textId="0C25F8D3" w:rsidR="00383FB7" w:rsidRPr="00F55BDF" w:rsidRDefault="00DC7454"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2022 : 4 sur 6 </w:t>
            </w:r>
          </w:p>
        </w:tc>
        <w:tc>
          <w:tcPr>
            <w:tcW w:w="841" w:type="pct"/>
            <w:tcBorders>
              <w:top w:val="single" w:sz="4" w:space="0" w:color="auto"/>
              <w:left w:val="nil"/>
              <w:bottom w:val="single" w:sz="4" w:space="0" w:color="auto"/>
              <w:right w:val="single" w:sz="4" w:space="0" w:color="auto"/>
            </w:tcBorders>
          </w:tcPr>
          <w:p w14:paraId="0E553186" w14:textId="77777777" w:rsidR="00383FB7" w:rsidRPr="00F55BDF" w:rsidRDefault="00DC7454"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 N/A</w:t>
            </w:r>
          </w:p>
          <w:p w14:paraId="18C4E8F3" w14:textId="45A1109A" w:rsidR="00A44857" w:rsidRPr="00F55BDF" w:rsidRDefault="00A44857"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Explication : le PAG est un plan à valider par le Comité d’Orientation et de Suivi (COS) (niveau régional) et la commission SAPM (niveau national) après l’obtention des arrêtés de mise protection temporaire des APC (Q3 2020)</w:t>
            </w:r>
          </w:p>
        </w:tc>
        <w:tc>
          <w:tcPr>
            <w:tcW w:w="486" w:type="pct"/>
            <w:tcBorders>
              <w:top w:val="single" w:sz="4" w:space="0" w:color="auto"/>
              <w:left w:val="nil"/>
              <w:bottom w:val="single" w:sz="4" w:space="0" w:color="auto"/>
              <w:right w:val="single" w:sz="4" w:space="0" w:color="auto"/>
            </w:tcBorders>
            <w:shd w:val="clear" w:color="auto" w:fill="auto"/>
            <w:noWrap/>
            <w:vAlign w:val="center"/>
          </w:tcPr>
          <w:p w14:paraId="2F431FFA" w14:textId="77777777" w:rsidR="00DC7454"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Collecte et analyse des outils METT</w:t>
            </w:r>
          </w:p>
          <w:p w14:paraId="55297842" w14:textId="3D2E8D37" w:rsidR="00383FB7"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Atelier APC</w:t>
            </w:r>
          </w:p>
        </w:tc>
        <w:tc>
          <w:tcPr>
            <w:tcW w:w="487" w:type="pct"/>
            <w:tcBorders>
              <w:top w:val="single" w:sz="4" w:space="0" w:color="auto"/>
              <w:left w:val="nil"/>
              <w:bottom w:val="single" w:sz="4" w:space="0" w:color="auto"/>
              <w:right w:val="single" w:sz="4" w:space="0" w:color="auto"/>
            </w:tcBorders>
          </w:tcPr>
          <w:p w14:paraId="6855ECAD" w14:textId="77777777" w:rsidR="00DC7454"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METT</w:t>
            </w:r>
          </w:p>
          <w:p w14:paraId="32F76ED8" w14:textId="4365A288" w:rsidR="00383FB7"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des structures de gestion</w:t>
            </w:r>
          </w:p>
        </w:tc>
      </w:tr>
      <w:tr w:rsidR="00383FB7" w:rsidRPr="00F55BDF" w14:paraId="4CAE00BE" w14:textId="77777777" w:rsidTr="00383FB7">
        <w:trPr>
          <w:trHeight w:val="705"/>
        </w:trPr>
        <w:tc>
          <w:tcPr>
            <w:tcW w:w="487" w:type="pct"/>
            <w:tcBorders>
              <w:left w:val="single" w:sz="4" w:space="0" w:color="auto"/>
              <w:right w:val="single" w:sz="4" w:space="0" w:color="auto"/>
            </w:tcBorders>
            <w:shd w:val="clear" w:color="auto" w:fill="auto"/>
            <w:vAlign w:val="center"/>
          </w:tcPr>
          <w:p w14:paraId="5B23A053" w14:textId="77777777" w:rsidR="00383FB7" w:rsidRPr="00F55BDF" w:rsidRDefault="00383FB7" w:rsidP="004002FD">
            <w:pPr>
              <w:spacing w:after="0" w:line="240" w:lineRule="auto"/>
              <w:rPr>
                <w:rFonts w:eastAsia="Times New Roman" w:cstheme="minorHAnsi"/>
                <w:i/>
                <w:iCs/>
                <w:color w:val="000000"/>
                <w:sz w:val="20"/>
                <w:szCs w:val="20"/>
                <w:lang w:eastAsia="fr-FR"/>
              </w:rPr>
            </w:pPr>
          </w:p>
        </w:tc>
        <w:tc>
          <w:tcPr>
            <w:tcW w:w="823" w:type="pct"/>
            <w:tcBorders>
              <w:top w:val="single" w:sz="4" w:space="0" w:color="auto"/>
              <w:left w:val="nil"/>
              <w:bottom w:val="single" w:sz="4" w:space="0" w:color="auto"/>
              <w:right w:val="single" w:sz="4" w:space="0" w:color="auto"/>
            </w:tcBorders>
            <w:shd w:val="clear" w:color="auto" w:fill="auto"/>
            <w:vAlign w:val="center"/>
          </w:tcPr>
          <w:p w14:paraId="00CA80EC" w14:textId="527580D1" w:rsidR="00383FB7" w:rsidRPr="00F55BDF" w:rsidRDefault="00383FB7"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 xml:space="preserve">Indicateur 7 : (g) : Taux de réalisation des suivis écologiques participatifs </w:t>
            </w:r>
            <w:r w:rsidR="00E7092D" w:rsidRPr="00F55BDF">
              <w:rPr>
                <w:rFonts w:eastAsia="Times New Roman" w:cstheme="minorHAnsi"/>
                <w:i/>
                <w:iCs/>
                <w:color w:val="000000"/>
                <w:sz w:val="20"/>
                <w:szCs w:val="20"/>
                <w:lang w:eastAsia="fr-FR"/>
              </w:rPr>
              <w:t xml:space="preserve">(SEP) </w:t>
            </w:r>
            <w:r w:rsidRPr="00F55BDF">
              <w:rPr>
                <w:rFonts w:eastAsia="Times New Roman" w:cstheme="minorHAnsi"/>
                <w:i/>
                <w:iCs/>
                <w:color w:val="000000"/>
                <w:sz w:val="20"/>
                <w:szCs w:val="20"/>
                <w:lang w:eastAsia="fr-FR"/>
              </w:rPr>
              <w:t xml:space="preserve">planifiés  </w:t>
            </w:r>
          </w:p>
        </w:tc>
        <w:tc>
          <w:tcPr>
            <w:tcW w:w="915" w:type="pct"/>
            <w:tcBorders>
              <w:top w:val="single" w:sz="4" w:space="0" w:color="auto"/>
              <w:left w:val="nil"/>
              <w:bottom w:val="single" w:sz="4" w:space="0" w:color="auto"/>
              <w:right w:val="single" w:sz="4" w:space="0" w:color="auto"/>
            </w:tcBorders>
            <w:shd w:val="clear" w:color="auto" w:fill="auto"/>
            <w:noWrap/>
            <w:vAlign w:val="center"/>
          </w:tcPr>
          <w:p w14:paraId="73C09F5E" w14:textId="17E506A1" w:rsidR="00383FB7" w:rsidRPr="00F55BDF" w:rsidRDefault="00DC7454"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2017 : 0%</w:t>
            </w:r>
          </w:p>
        </w:tc>
        <w:tc>
          <w:tcPr>
            <w:tcW w:w="961" w:type="pct"/>
            <w:tcBorders>
              <w:top w:val="single" w:sz="4" w:space="0" w:color="auto"/>
              <w:left w:val="nil"/>
              <w:bottom w:val="single" w:sz="4" w:space="0" w:color="auto"/>
              <w:right w:val="single" w:sz="4" w:space="0" w:color="auto"/>
            </w:tcBorders>
            <w:shd w:val="clear" w:color="auto" w:fill="auto"/>
            <w:vAlign w:val="center"/>
          </w:tcPr>
          <w:p w14:paraId="479075A2" w14:textId="229F61FC" w:rsidR="00DC7454" w:rsidRPr="00F55BDF" w:rsidRDefault="00DC7454" w:rsidP="00E7092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2019 : Nombre de membres du COGE formés en technique de</w:t>
            </w:r>
            <w:r w:rsidR="00A44857" w:rsidRPr="00F55BDF">
              <w:rPr>
                <w:rFonts w:eastAsia="Times New Roman" w:cstheme="minorHAnsi"/>
                <w:i/>
                <w:color w:val="000000"/>
                <w:sz w:val="20"/>
                <w:szCs w:val="20"/>
                <w:lang w:eastAsia="fr-FR"/>
              </w:rPr>
              <w:t xml:space="preserve"> SEP</w:t>
            </w:r>
            <w:r w:rsidR="003370DA" w:rsidRPr="00F55BDF">
              <w:rPr>
                <w:rFonts w:eastAsia="Times New Roman" w:cstheme="minorHAnsi"/>
                <w:i/>
                <w:color w:val="000000"/>
                <w:sz w:val="20"/>
                <w:szCs w:val="20"/>
                <w:lang w:eastAsia="fr-FR"/>
              </w:rPr>
              <w:t>.</w:t>
            </w:r>
          </w:p>
          <w:p w14:paraId="51A5566F" w14:textId="21B5D832" w:rsidR="00DC7454" w:rsidRPr="00F55BDF" w:rsidRDefault="00DC7454"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2020 : Vérification sur terrain du Taux de réalisation des suivis écologiques participatifs planifiés par chaque APC aura son PTA qui définit son plan de SEP</w:t>
            </w:r>
          </w:p>
          <w:p w14:paraId="3FAEDDD9" w14:textId="2E2E76CE" w:rsidR="00383FB7" w:rsidRPr="00F55BDF" w:rsidRDefault="00DC7454"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2022 : 75%</w:t>
            </w:r>
          </w:p>
        </w:tc>
        <w:tc>
          <w:tcPr>
            <w:tcW w:w="841" w:type="pct"/>
            <w:tcBorders>
              <w:top w:val="single" w:sz="4" w:space="0" w:color="auto"/>
              <w:left w:val="nil"/>
              <w:bottom w:val="single" w:sz="4" w:space="0" w:color="auto"/>
              <w:right w:val="single" w:sz="4" w:space="0" w:color="auto"/>
            </w:tcBorders>
          </w:tcPr>
          <w:p w14:paraId="07E5FE08" w14:textId="77777777" w:rsidR="00383FB7" w:rsidRPr="00F55BDF" w:rsidRDefault="00DC7454"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N/A</w:t>
            </w:r>
          </w:p>
          <w:p w14:paraId="028ACC0C" w14:textId="56E95093" w:rsidR="00527C2F" w:rsidRPr="00F55BDF" w:rsidRDefault="00527C2F"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Etapes réalisées :</w:t>
            </w:r>
          </w:p>
          <w:p w14:paraId="3C0B3C9D" w14:textId="4FEA7CA7" w:rsidR="00E7092D" w:rsidRPr="00F55BDF" w:rsidRDefault="00A44857"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 membres de COGE</w:t>
            </w:r>
            <w:r w:rsidR="003370DA" w:rsidRPr="00F55BDF">
              <w:rPr>
                <w:rFonts w:eastAsia="Times New Roman" w:cstheme="minorHAnsi"/>
                <w:color w:val="000000"/>
                <w:sz w:val="20"/>
                <w:szCs w:val="20"/>
                <w:lang w:eastAsia="fr-FR"/>
              </w:rPr>
              <w:t xml:space="preserve"> des 07 APC</w:t>
            </w:r>
            <w:r w:rsidRPr="00F55BDF">
              <w:rPr>
                <w:rFonts w:eastAsia="Times New Roman" w:cstheme="minorHAnsi"/>
                <w:color w:val="000000"/>
                <w:sz w:val="20"/>
                <w:szCs w:val="20"/>
                <w:lang w:eastAsia="fr-FR"/>
              </w:rPr>
              <w:t xml:space="preserve"> formés</w:t>
            </w:r>
            <w:r w:rsidR="00527C2F" w:rsidRPr="00F55BDF">
              <w:rPr>
                <w:rFonts w:eastAsia="Times New Roman" w:cstheme="minorHAnsi"/>
                <w:color w:val="000000"/>
                <w:sz w:val="20"/>
                <w:szCs w:val="20"/>
                <w:lang w:eastAsia="fr-FR"/>
              </w:rPr>
              <w:t> </w:t>
            </w:r>
            <w:r w:rsidR="003370DA" w:rsidRPr="00F55BDF">
              <w:rPr>
                <w:rFonts w:eastAsia="Times New Roman" w:cstheme="minorHAnsi"/>
                <w:color w:val="000000"/>
                <w:sz w:val="20"/>
                <w:szCs w:val="20"/>
                <w:lang w:eastAsia="fr-FR"/>
              </w:rPr>
              <w:t xml:space="preserve">et équipés </w:t>
            </w:r>
            <w:r w:rsidR="00527C2F" w:rsidRPr="00F55BDF">
              <w:rPr>
                <w:rFonts w:eastAsia="Times New Roman" w:cstheme="minorHAnsi"/>
                <w:color w:val="000000"/>
                <w:sz w:val="20"/>
                <w:szCs w:val="20"/>
                <w:lang w:eastAsia="fr-FR"/>
              </w:rPr>
              <w:t>: 05 personnes par APC (35 au total). 04 APC équipées en : GPS, décamètre, paires de jumelles, montres waterproof</w:t>
            </w:r>
            <w:r w:rsidR="003370DA" w:rsidRPr="00F55BDF">
              <w:rPr>
                <w:rFonts w:eastAsia="Times New Roman" w:cstheme="minorHAnsi"/>
                <w:color w:val="000000"/>
                <w:sz w:val="20"/>
                <w:szCs w:val="20"/>
                <w:lang w:eastAsia="fr-FR"/>
              </w:rPr>
              <w:t xml:space="preserve"> et 03 équipées en GPS</w:t>
            </w:r>
          </w:p>
          <w:p w14:paraId="3281A739" w14:textId="7C6B3519" w:rsidR="00527C2F" w:rsidRPr="00F55BDF" w:rsidRDefault="00527C2F"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Explication : </w:t>
            </w:r>
            <w:r w:rsidR="003370DA" w:rsidRPr="00F55BDF">
              <w:rPr>
                <w:rFonts w:eastAsia="Times New Roman" w:cstheme="minorHAnsi"/>
                <w:color w:val="000000"/>
                <w:sz w:val="20"/>
                <w:szCs w:val="20"/>
                <w:lang w:eastAsia="fr-FR"/>
              </w:rPr>
              <w:t xml:space="preserve">Le SEP se fait 2 fois par an : 1 saison de pluie et 1 saison sèche. Les membres des COGE ont plus fait des patrouilles mensuelles périodiques mais non pas le </w:t>
            </w:r>
            <w:r w:rsidR="003370DA" w:rsidRPr="00F55BDF">
              <w:rPr>
                <w:rFonts w:eastAsia="Times New Roman" w:cstheme="minorHAnsi"/>
                <w:color w:val="000000"/>
                <w:sz w:val="20"/>
                <w:szCs w:val="20"/>
                <w:lang w:eastAsia="fr-FR"/>
              </w:rPr>
              <w:lastRenderedPageBreak/>
              <w:t>SEP. 1</w:t>
            </w:r>
            <w:r w:rsidR="003370DA" w:rsidRPr="00F55BDF">
              <w:rPr>
                <w:rFonts w:eastAsia="Times New Roman" w:cstheme="minorHAnsi"/>
                <w:color w:val="000000"/>
                <w:sz w:val="20"/>
                <w:szCs w:val="20"/>
                <w:vertAlign w:val="superscript"/>
                <w:lang w:eastAsia="fr-FR"/>
              </w:rPr>
              <w:t>ère</w:t>
            </w:r>
            <w:r w:rsidR="003370DA" w:rsidRPr="00F55BDF">
              <w:rPr>
                <w:rFonts w:eastAsia="Times New Roman" w:cstheme="minorHAnsi"/>
                <w:color w:val="000000"/>
                <w:sz w:val="20"/>
                <w:szCs w:val="20"/>
                <w:lang w:eastAsia="fr-FR"/>
              </w:rPr>
              <w:t xml:space="preserve"> réalisation avec planification dans PTA 2020.</w:t>
            </w:r>
          </w:p>
        </w:tc>
        <w:tc>
          <w:tcPr>
            <w:tcW w:w="486" w:type="pct"/>
            <w:tcBorders>
              <w:top w:val="single" w:sz="4" w:space="0" w:color="auto"/>
              <w:left w:val="nil"/>
              <w:bottom w:val="single" w:sz="4" w:space="0" w:color="auto"/>
              <w:right w:val="single" w:sz="4" w:space="0" w:color="auto"/>
            </w:tcBorders>
            <w:shd w:val="clear" w:color="auto" w:fill="auto"/>
            <w:noWrap/>
            <w:vAlign w:val="center"/>
          </w:tcPr>
          <w:p w14:paraId="32F903EF" w14:textId="3223104D" w:rsidR="00383FB7"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lastRenderedPageBreak/>
              <w:t>Consultation documents, triangulation des informations sur terrain</w:t>
            </w:r>
          </w:p>
        </w:tc>
        <w:tc>
          <w:tcPr>
            <w:tcW w:w="487" w:type="pct"/>
            <w:tcBorders>
              <w:top w:val="single" w:sz="4" w:space="0" w:color="auto"/>
              <w:left w:val="nil"/>
              <w:bottom w:val="single" w:sz="4" w:space="0" w:color="auto"/>
              <w:right w:val="single" w:sz="4" w:space="0" w:color="auto"/>
            </w:tcBorders>
          </w:tcPr>
          <w:p w14:paraId="2345D675" w14:textId="34F67947" w:rsidR="00E7092D" w:rsidRPr="00F55BDF" w:rsidRDefault="00E7092D"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Rapport de formation </w:t>
            </w:r>
          </w:p>
          <w:p w14:paraId="1618B394" w14:textId="341BA2EB" w:rsidR="00383FB7" w:rsidRPr="00F55BDF" w:rsidRDefault="00DC7454"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de suivi écologique</w:t>
            </w:r>
            <w:r w:rsidR="00E7092D" w:rsidRPr="00F55BDF">
              <w:rPr>
                <w:rFonts w:eastAsia="Times New Roman" w:cstheme="minorHAnsi"/>
                <w:color w:val="000000"/>
                <w:sz w:val="20"/>
                <w:szCs w:val="20"/>
                <w:lang w:eastAsia="fr-FR"/>
              </w:rPr>
              <w:t xml:space="preserve"> par APC</w:t>
            </w:r>
          </w:p>
        </w:tc>
      </w:tr>
      <w:tr w:rsidR="00383FB7" w:rsidRPr="00F55BDF" w14:paraId="746EF1D2" w14:textId="77777777" w:rsidTr="00303D3F">
        <w:trPr>
          <w:trHeight w:val="705"/>
        </w:trPr>
        <w:tc>
          <w:tcPr>
            <w:tcW w:w="487" w:type="pct"/>
            <w:tcBorders>
              <w:left w:val="single" w:sz="4" w:space="0" w:color="auto"/>
              <w:bottom w:val="single" w:sz="4" w:space="0" w:color="auto"/>
              <w:right w:val="single" w:sz="4" w:space="0" w:color="auto"/>
            </w:tcBorders>
            <w:shd w:val="clear" w:color="auto" w:fill="auto"/>
            <w:vAlign w:val="center"/>
          </w:tcPr>
          <w:p w14:paraId="454ADD7C" w14:textId="77777777" w:rsidR="00383FB7" w:rsidRPr="00F55BDF" w:rsidRDefault="00383FB7" w:rsidP="004002FD">
            <w:pPr>
              <w:spacing w:after="0" w:line="240" w:lineRule="auto"/>
              <w:rPr>
                <w:rFonts w:eastAsia="Times New Roman" w:cstheme="minorHAnsi"/>
                <w:i/>
                <w:iCs/>
                <w:color w:val="000000"/>
                <w:sz w:val="20"/>
                <w:szCs w:val="20"/>
                <w:lang w:eastAsia="fr-FR"/>
              </w:rPr>
            </w:pPr>
          </w:p>
        </w:tc>
        <w:tc>
          <w:tcPr>
            <w:tcW w:w="823" w:type="pct"/>
            <w:tcBorders>
              <w:top w:val="single" w:sz="4" w:space="0" w:color="auto"/>
              <w:left w:val="nil"/>
              <w:bottom w:val="single" w:sz="4" w:space="0" w:color="auto"/>
              <w:right w:val="single" w:sz="4" w:space="0" w:color="auto"/>
            </w:tcBorders>
            <w:shd w:val="clear" w:color="auto" w:fill="auto"/>
            <w:vAlign w:val="center"/>
          </w:tcPr>
          <w:p w14:paraId="641FBBA2" w14:textId="780F0C12" w:rsidR="00383FB7" w:rsidRPr="00F55BDF" w:rsidRDefault="00383FB7" w:rsidP="004002FD">
            <w:pPr>
              <w:spacing w:after="0" w:line="240" w:lineRule="auto"/>
              <w:rPr>
                <w:rFonts w:eastAsia="Times New Roman" w:cstheme="minorHAnsi"/>
                <w:i/>
                <w:iCs/>
                <w:color w:val="000000"/>
                <w:sz w:val="20"/>
                <w:szCs w:val="20"/>
                <w:lang w:eastAsia="fr-FR"/>
              </w:rPr>
            </w:pPr>
            <w:r w:rsidRPr="00F55BDF">
              <w:rPr>
                <w:rFonts w:eastAsia="Times New Roman" w:cstheme="minorHAnsi"/>
                <w:i/>
                <w:iCs/>
                <w:color w:val="000000"/>
                <w:sz w:val="20"/>
                <w:szCs w:val="20"/>
                <w:lang w:eastAsia="fr-FR"/>
              </w:rPr>
              <w:t>Indicateur 8 : (h) : Taux d'amélioration de la qualité de vie des ménages (réf : indices composites : santé, éducation, revenus, nutrition)</w:t>
            </w:r>
          </w:p>
        </w:tc>
        <w:tc>
          <w:tcPr>
            <w:tcW w:w="915" w:type="pct"/>
            <w:tcBorders>
              <w:top w:val="single" w:sz="4" w:space="0" w:color="auto"/>
              <w:left w:val="nil"/>
              <w:bottom w:val="single" w:sz="4" w:space="0" w:color="auto"/>
              <w:right w:val="single" w:sz="4" w:space="0" w:color="auto"/>
            </w:tcBorders>
            <w:shd w:val="clear" w:color="auto" w:fill="auto"/>
            <w:noWrap/>
            <w:vAlign w:val="center"/>
          </w:tcPr>
          <w:p w14:paraId="306E1623" w14:textId="5C3EC29A" w:rsidR="00383FB7" w:rsidRPr="00F55BDF" w:rsidRDefault="00E7092D"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2017 : </w:t>
            </w:r>
            <w:r w:rsidR="00CF2BAD" w:rsidRPr="00F55BDF">
              <w:rPr>
                <w:rFonts w:eastAsia="Times New Roman" w:cstheme="minorHAnsi"/>
                <w:i/>
                <w:color w:val="000000"/>
                <w:sz w:val="20"/>
                <w:szCs w:val="20"/>
                <w:lang w:eastAsia="fr-FR"/>
              </w:rPr>
              <w:t>à déterminer</w:t>
            </w:r>
          </w:p>
        </w:tc>
        <w:tc>
          <w:tcPr>
            <w:tcW w:w="961" w:type="pct"/>
            <w:tcBorders>
              <w:top w:val="single" w:sz="4" w:space="0" w:color="auto"/>
              <w:left w:val="nil"/>
              <w:bottom w:val="single" w:sz="4" w:space="0" w:color="auto"/>
              <w:right w:val="single" w:sz="4" w:space="0" w:color="auto"/>
            </w:tcBorders>
            <w:shd w:val="clear" w:color="auto" w:fill="auto"/>
            <w:vAlign w:val="center"/>
          </w:tcPr>
          <w:p w14:paraId="2C679929" w14:textId="203C152C" w:rsidR="00E7092D" w:rsidRPr="00F55BDF" w:rsidRDefault="00D704B5"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 xml:space="preserve">2019 : </w:t>
            </w:r>
          </w:p>
          <w:p w14:paraId="68E38AF7" w14:textId="15942DD1" w:rsidR="00E7092D" w:rsidRPr="00F55BDF" w:rsidRDefault="00E7092D"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2020 :</w:t>
            </w:r>
            <w:r w:rsidR="00CF2BAD" w:rsidRPr="00F55BDF">
              <w:t xml:space="preserve"> </w:t>
            </w:r>
            <w:r w:rsidR="00CF2BAD" w:rsidRPr="00F55BDF">
              <w:rPr>
                <w:rFonts w:eastAsia="Times New Roman" w:cstheme="minorHAnsi"/>
                <w:i/>
                <w:color w:val="000000"/>
                <w:sz w:val="20"/>
                <w:szCs w:val="20"/>
                <w:lang w:eastAsia="fr-FR"/>
              </w:rPr>
              <w:t xml:space="preserve">Evaluation indépendante pour proposer un indice composite visant à mesurer (niveau APC) le Taux d'amélioration de la qualité de vie des ménages et établir la </w:t>
            </w:r>
            <w:proofErr w:type="spellStart"/>
            <w:r w:rsidR="00CF2BAD" w:rsidRPr="00F55BDF">
              <w:rPr>
                <w:rFonts w:eastAsia="Times New Roman" w:cstheme="minorHAnsi"/>
                <w:i/>
                <w:color w:val="000000"/>
                <w:sz w:val="20"/>
                <w:szCs w:val="20"/>
                <w:lang w:eastAsia="fr-FR"/>
              </w:rPr>
              <w:t>baseline</w:t>
            </w:r>
            <w:proofErr w:type="spellEnd"/>
            <w:r w:rsidR="00CF2BAD" w:rsidRPr="00F55BDF">
              <w:rPr>
                <w:rFonts w:eastAsia="Times New Roman" w:cstheme="minorHAnsi"/>
                <w:i/>
                <w:color w:val="000000"/>
                <w:sz w:val="20"/>
                <w:szCs w:val="20"/>
                <w:lang w:eastAsia="fr-FR"/>
              </w:rPr>
              <w:t xml:space="preserve"> en 2020</w:t>
            </w:r>
          </w:p>
          <w:p w14:paraId="0A53FFDB" w14:textId="615DDC91" w:rsidR="00383FB7" w:rsidRPr="00F55BDF" w:rsidRDefault="00E7092D" w:rsidP="004002FD">
            <w:pPr>
              <w:spacing w:after="0" w:line="240" w:lineRule="auto"/>
              <w:rPr>
                <w:rFonts w:eastAsia="Times New Roman" w:cstheme="minorHAnsi"/>
                <w:i/>
                <w:color w:val="000000"/>
                <w:sz w:val="20"/>
                <w:szCs w:val="20"/>
                <w:lang w:eastAsia="fr-FR"/>
              </w:rPr>
            </w:pPr>
            <w:r w:rsidRPr="00F55BDF">
              <w:rPr>
                <w:rFonts w:eastAsia="Times New Roman" w:cstheme="minorHAnsi"/>
                <w:i/>
                <w:color w:val="000000"/>
                <w:sz w:val="20"/>
                <w:szCs w:val="20"/>
                <w:lang w:eastAsia="fr-FR"/>
              </w:rPr>
              <w:t>2022 : Augmentation de 15%</w:t>
            </w:r>
          </w:p>
        </w:tc>
        <w:tc>
          <w:tcPr>
            <w:tcW w:w="841" w:type="pct"/>
            <w:tcBorders>
              <w:top w:val="single" w:sz="4" w:space="0" w:color="auto"/>
              <w:left w:val="nil"/>
              <w:bottom w:val="single" w:sz="4" w:space="0" w:color="auto"/>
              <w:right w:val="single" w:sz="4" w:space="0" w:color="auto"/>
            </w:tcBorders>
          </w:tcPr>
          <w:p w14:paraId="285709D8" w14:textId="77777777" w:rsidR="00383FB7" w:rsidRPr="00F55BDF" w:rsidRDefault="00CF2BAD"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2019 : N/A</w:t>
            </w:r>
          </w:p>
          <w:p w14:paraId="4EB499BB" w14:textId="77777777" w:rsidR="00D704B5" w:rsidRPr="00F55BDF" w:rsidRDefault="00D704B5"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Etapes réalisées :</w:t>
            </w:r>
          </w:p>
          <w:p w14:paraId="538B1E71" w14:textId="19126727" w:rsidR="00D704B5" w:rsidRPr="00F55BDF" w:rsidRDefault="00D704B5" w:rsidP="004002FD">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 xml:space="preserve">2019 : nombres de personnes formées pour le développement des AGR : 676 ; dont 19 équipées. </w:t>
            </w:r>
          </w:p>
        </w:tc>
        <w:tc>
          <w:tcPr>
            <w:tcW w:w="486" w:type="pct"/>
            <w:tcBorders>
              <w:top w:val="single" w:sz="4" w:space="0" w:color="auto"/>
              <w:left w:val="nil"/>
              <w:bottom w:val="single" w:sz="4" w:space="0" w:color="auto"/>
              <w:right w:val="single" w:sz="4" w:space="0" w:color="auto"/>
            </w:tcBorders>
            <w:shd w:val="clear" w:color="auto" w:fill="auto"/>
            <w:noWrap/>
            <w:vAlign w:val="center"/>
          </w:tcPr>
          <w:p w14:paraId="1B1BC37F" w14:textId="134AD60E" w:rsidR="00383FB7" w:rsidRPr="00F55BDF" w:rsidRDefault="00CF2BAD"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Enquêtes ménages</w:t>
            </w:r>
          </w:p>
        </w:tc>
        <w:tc>
          <w:tcPr>
            <w:tcW w:w="487" w:type="pct"/>
            <w:tcBorders>
              <w:top w:val="single" w:sz="4" w:space="0" w:color="auto"/>
              <w:left w:val="nil"/>
              <w:bottom w:val="single" w:sz="4" w:space="0" w:color="auto"/>
              <w:right w:val="single" w:sz="4" w:space="0" w:color="auto"/>
            </w:tcBorders>
          </w:tcPr>
          <w:p w14:paraId="1327AEF0" w14:textId="6FA897B6" w:rsidR="00383FB7" w:rsidRPr="00F55BDF" w:rsidRDefault="00CF2BAD" w:rsidP="00DC7454">
            <w:pPr>
              <w:spacing w:after="0" w:line="240" w:lineRule="auto"/>
              <w:rPr>
                <w:rFonts w:eastAsia="Times New Roman" w:cstheme="minorHAnsi"/>
                <w:color w:val="000000"/>
                <w:sz w:val="20"/>
                <w:szCs w:val="20"/>
                <w:lang w:eastAsia="fr-FR"/>
              </w:rPr>
            </w:pPr>
            <w:r w:rsidRPr="00F55BDF">
              <w:rPr>
                <w:rFonts w:eastAsia="Times New Roman" w:cstheme="minorHAnsi"/>
                <w:color w:val="000000"/>
                <w:sz w:val="20"/>
                <w:szCs w:val="20"/>
                <w:lang w:eastAsia="fr-FR"/>
              </w:rPr>
              <w:t>Rapports d'enquêtes</w:t>
            </w:r>
          </w:p>
        </w:tc>
      </w:tr>
    </w:tbl>
    <w:p w14:paraId="0995EBD9" w14:textId="09FA0179" w:rsidR="00056893" w:rsidRPr="00F55BDF" w:rsidRDefault="00056893" w:rsidP="00056893">
      <w:pPr>
        <w:rPr>
          <w:bCs/>
          <w:iCs/>
          <w:sz w:val="24"/>
        </w:rPr>
      </w:pPr>
    </w:p>
    <w:p w14:paraId="571740E5" w14:textId="3221650A" w:rsidR="00056893" w:rsidRPr="00F55BDF" w:rsidRDefault="00056893" w:rsidP="00056893">
      <w:pPr>
        <w:rPr>
          <w:bCs/>
          <w:iCs/>
          <w:sz w:val="24"/>
        </w:rPr>
      </w:pPr>
    </w:p>
    <w:p w14:paraId="462DEDED" w14:textId="77777777" w:rsidR="00056893" w:rsidRPr="00F55BDF" w:rsidRDefault="00056893" w:rsidP="00056893">
      <w:pPr>
        <w:rPr>
          <w:bCs/>
          <w:iCs/>
          <w:sz w:val="24"/>
        </w:rPr>
      </w:pPr>
    </w:p>
    <w:p w14:paraId="2A30DFF5" w14:textId="616C055F" w:rsidR="004A530E" w:rsidRPr="00F55BDF" w:rsidRDefault="004A530E" w:rsidP="00F0284E">
      <w:pPr>
        <w:rPr>
          <w:b/>
        </w:rPr>
        <w:sectPr w:rsidR="004A530E" w:rsidRPr="00F55BDF" w:rsidSect="00800573">
          <w:pgSz w:w="16838" w:h="11906" w:orient="landscape"/>
          <w:pgMar w:top="1418" w:right="709" w:bottom="1418" w:left="1418" w:header="708" w:footer="708" w:gutter="0"/>
          <w:cols w:space="708"/>
          <w:docGrid w:linePitch="360"/>
        </w:sectPr>
      </w:pPr>
    </w:p>
    <w:p w14:paraId="652F6F6F" w14:textId="43F455D1" w:rsidR="00F0284E" w:rsidRPr="00F55BDF" w:rsidRDefault="00F0284E" w:rsidP="00F0284E">
      <w:pPr>
        <w:rPr>
          <w:b/>
          <w:u w:val="single"/>
        </w:rPr>
      </w:pPr>
      <w:r w:rsidRPr="00F55BDF">
        <w:rPr>
          <w:b/>
        </w:rPr>
        <w:lastRenderedPageBreak/>
        <w:t xml:space="preserve">Nombre </w:t>
      </w:r>
      <w:r w:rsidR="00C33632" w:rsidRPr="00F55BDF">
        <w:rPr>
          <w:b/>
        </w:rPr>
        <w:t xml:space="preserve">d’activités prévues pour l’année </w:t>
      </w:r>
      <w:r w:rsidRPr="00F55BDF">
        <w:rPr>
          <w:b/>
        </w:rPr>
        <w:t>concerné</w:t>
      </w:r>
      <w:r w:rsidR="00C33632" w:rsidRPr="00F55BDF">
        <w:rPr>
          <w:b/>
        </w:rPr>
        <w:t>e</w:t>
      </w:r>
      <w:r w:rsidR="003D7D1E" w:rsidRPr="00F55BDF">
        <w:rPr>
          <w:b/>
        </w:rPr>
        <w:t xml:space="preserve"> </w:t>
      </w:r>
      <w:r w:rsidRPr="00F55BDF">
        <w:rPr>
          <w:b/>
        </w:rPr>
        <w:t xml:space="preserve">:  </w:t>
      </w:r>
      <w:r w:rsidR="00F9618F" w:rsidRPr="00F55BDF">
        <w:rPr>
          <w:b/>
        </w:rPr>
        <w:t>3</w:t>
      </w:r>
      <w:r w:rsidR="005B3900" w:rsidRPr="00F55BDF">
        <w:rPr>
          <w:b/>
        </w:rPr>
        <w:t>2</w:t>
      </w:r>
      <w:r w:rsidR="002943D9" w:rsidRPr="00F55BDF">
        <w:rPr>
          <w:b/>
        </w:rPr>
        <w:t> </w:t>
      </w:r>
      <w:r w:rsidR="00E85C6E" w:rsidRPr="00F55BDF">
        <w:rPr>
          <w:b/>
        </w:rPr>
        <w:t>(</w:t>
      </w:r>
      <w:r w:rsidR="00F9618F" w:rsidRPr="00F55BDF">
        <w:rPr>
          <w:b/>
        </w:rPr>
        <w:t>hors gestion du projet)</w:t>
      </w:r>
    </w:p>
    <w:tbl>
      <w:tblPr>
        <w:tblStyle w:val="TableGrid"/>
        <w:tblpPr w:leftFromText="141" w:rightFromText="141" w:vertAnchor="text" w:horzAnchor="page" w:tblpX="5735" w:tblpY="220"/>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rsidRPr="00F55BDF" w14:paraId="1E31469F" w14:textId="77777777" w:rsidTr="00665410">
        <w:trPr>
          <w:trHeight w:val="294"/>
        </w:trPr>
        <w:tc>
          <w:tcPr>
            <w:tcW w:w="1304" w:type="dxa"/>
          </w:tcPr>
          <w:p w14:paraId="67D2D48E" w14:textId="77777777" w:rsidR="00F0284E" w:rsidRPr="00F55BDF" w:rsidRDefault="00F0284E" w:rsidP="00665410">
            <w:pPr>
              <w:rPr>
                <w:b/>
                <w:u w:val="single"/>
              </w:rPr>
            </w:pPr>
          </w:p>
        </w:tc>
      </w:tr>
    </w:tbl>
    <w:p w14:paraId="636EFEFA" w14:textId="322ADDAC" w:rsidR="00F0284E" w:rsidRPr="00F55BDF" w:rsidRDefault="00F0284E" w:rsidP="00F9618F">
      <w:pPr>
        <w:pStyle w:val="ListParagraph"/>
        <w:numPr>
          <w:ilvl w:val="0"/>
          <w:numId w:val="3"/>
        </w:numPr>
        <w:spacing w:before="0" w:after="0"/>
        <w:rPr>
          <w:lang w:val="fr-FR"/>
        </w:rPr>
      </w:pPr>
      <w:r w:rsidRPr="00F55BDF">
        <w:rPr>
          <w:lang w:val="fr-FR"/>
        </w:rPr>
        <w:t xml:space="preserve">Nombre d’activités achevées :    </w:t>
      </w:r>
      <w:r w:rsidR="00E85C6E" w:rsidRPr="00F55BDF">
        <w:rPr>
          <w:lang w:val="fr-FR"/>
        </w:rPr>
        <w:t>16</w:t>
      </w:r>
    </w:p>
    <w:p w14:paraId="4E636E9E" w14:textId="72304D52" w:rsidR="00F0284E" w:rsidRPr="00F55BDF" w:rsidRDefault="00F0284E" w:rsidP="00F9618F">
      <w:pPr>
        <w:pStyle w:val="ListParagraph"/>
        <w:numPr>
          <w:ilvl w:val="0"/>
          <w:numId w:val="3"/>
        </w:numPr>
        <w:spacing w:before="0" w:after="0"/>
        <w:rPr>
          <w:lang w:val="fr-FR"/>
        </w:rPr>
      </w:pPr>
      <w:r w:rsidRPr="00F55BDF">
        <w:rPr>
          <w:lang w:val="fr-FR"/>
        </w:rPr>
        <w:t>Nombre d’activités en cours</w:t>
      </w:r>
      <w:r w:rsidR="00E85C6E" w:rsidRPr="00F55BDF">
        <w:rPr>
          <w:lang w:val="fr-FR"/>
        </w:rPr>
        <w:t> : 1</w:t>
      </w:r>
      <w:r w:rsidR="005B3900" w:rsidRPr="00F55BDF">
        <w:rPr>
          <w:lang w:val="fr-FR"/>
        </w:rPr>
        <w:t>0</w:t>
      </w:r>
      <w:r w:rsidRPr="00F55BDF">
        <w:rPr>
          <w:lang w:val="fr-FR"/>
        </w:rPr>
        <w:tab/>
      </w:r>
    </w:p>
    <w:tbl>
      <w:tblPr>
        <w:tblStyle w:val="TableGrid"/>
        <w:tblpPr w:leftFromText="141" w:rightFromText="141" w:vertAnchor="text" w:horzAnchor="page" w:tblpX="6400" w:tblpY="86"/>
        <w:tblW w:w="0" w:type="auto"/>
        <w:tblBorders>
          <w:top w:val="none" w:sz="0" w:space="0" w:color="auto"/>
          <w:left w:val="none" w:sz="0" w:space="0" w:color="auto"/>
          <w:right w:val="none" w:sz="0" w:space="0" w:color="auto"/>
        </w:tblBorders>
        <w:tblLook w:val="04A0" w:firstRow="1" w:lastRow="0" w:firstColumn="1" w:lastColumn="0" w:noHBand="0" w:noVBand="1"/>
      </w:tblPr>
      <w:tblGrid>
        <w:gridCol w:w="1304"/>
      </w:tblGrid>
      <w:tr w:rsidR="00F0284E" w:rsidRPr="00F55BDF" w14:paraId="6AB1F310" w14:textId="77777777" w:rsidTr="00665410">
        <w:trPr>
          <w:trHeight w:val="294"/>
        </w:trPr>
        <w:tc>
          <w:tcPr>
            <w:tcW w:w="1304" w:type="dxa"/>
          </w:tcPr>
          <w:p w14:paraId="5797840E" w14:textId="77777777" w:rsidR="00F0284E" w:rsidRPr="00F55BDF" w:rsidRDefault="00F0284E" w:rsidP="00F9618F">
            <w:pPr>
              <w:rPr>
                <w:b/>
                <w:u w:val="single"/>
              </w:rPr>
            </w:pPr>
          </w:p>
        </w:tc>
      </w:tr>
    </w:tbl>
    <w:p w14:paraId="47C68ED2" w14:textId="4948E939" w:rsidR="00F0284E" w:rsidRPr="00F55BDF" w:rsidRDefault="00F0284E" w:rsidP="00F9618F">
      <w:pPr>
        <w:pStyle w:val="ListParagraph"/>
        <w:numPr>
          <w:ilvl w:val="0"/>
          <w:numId w:val="3"/>
        </w:numPr>
        <w:spacing w:before="0" w:after="0"/>
        <w:rPr>
          <w:lang w:val="fr-FR"/>
        </w:rPr>
      </w:pPr>
      <w:r w:rsidRPr="00F55BDF">
        <w:rPr>
          <w:lang w:val="fr-FR"/>
        </w:rPr>
        <w:t>Nombre d’activités non commencées :  </w:t>
      </w:r>
      <w:r w:rsidR="00E85C6E" w:rsidRPr="00F55BDF">
        <w:rPr>
          <w:lang w:val="fr-FR"/>
        </w:rPr>
        <w:t>6</w:t>
      </w:r>
      <w:r w:rsidRPr="00F55BDF">
        <w:rPr>
          <w:lang w:val="fr-FR"/>
        </w:rPr>
        <w:t xml:space="preserve">  </w:t>
      </w:r>
    </w:p>
    <w:p w14:paraId="46DEF450" w14:textId="3B3392CD" w:rsidR="003E66AB" w:rsidRPr="00F55BDF" w:rsidRDefault="003E66AB" w:rsidP="00F9618F">
      <w:pPr>
        <w:pStyle w:val="ListParagraph"/>
        <w:spacing w:before="0" w:after="0"/>
        <w:rPr>
          <w:lang w:val="fr-FR"/>
        </w:rPr>
      </w:pPr>
    </w:p>
    <w:p w14:paraId="449388AF" w14:textId="07BE07F6" w:rsidR="00E1460C" w:rsidRPr="00F55BDF" w:rsidRDefault="00E1460C" w:rsidP="00542A3A">
      <w:pPr>
        <w:pStyle w:val="ListParagraph"/>
        <w:rPr>
          <w:lang w:val="fr-FR"/>
        </w:rPr>
      </w:pPr>
      <w:r w:rsidRPr="00F55BDF">
        <w:rPr>
          <w:lang w:val="fr-FR"/>
        </w:rPr>
        <w:t>Expliquer les retards (problèmes, contraintes) pour les activités en retard (non commencées ou non encore achevées) et les mesures pri</w:t>
      </w:r>
      <w:r w:rsidR="00263EAE" w:rsidRPr="00F55BDF">
        <w:rPr>
          <w:lang w:val="fr-FR"/>
        </w:rPr>
        <w:t>s</w:t>
      </w:r>
      <w:r w:rsidRPr="00F55BDF">
        <w:rPr>
          <w:lang w:val="fr-FR"/>
        </w:rPr>
        <w:t>es le cas échéant.</w:t>
      </w:r>
    </w:p>
    <w:p w14:paraId="20441E8B" w14:textId="28C9C642" w:rsidR="009C4BD8" w:rsidRPr="00F55BDF" w:rsidRDefault="009C4BD8" w:rsidP="007659D5">
      <w:pPr>
        <w:jc w:val="both"/>
      </w:pPr>
      <w:r w:rsidRPr="00F55BDF">
        <w:t>Dans son ensemble, le poste vacant du Coordonnateur du projet durant 6 mois, allant de fin novembre 2018 au début du mois mai 2019</w:t>
      </w:r>
      <w:r w:rsidR="000A1BCC" w:rsidRPr="00F55BDF">
        <w:t xml:space="preserve"> a beaucoup impacté sur la mise en œuvre des activités planifiées du PTA 2019 avec les 02 composantes du projet. Aussi, la nouvelle AAF n’est recrutée qu’au début du mois d’août 2019. Le déblocage du fonds à la fin du mois de février 2019 ne fait qu’alourdir les tâches de mise en œuvre. Toutefois, les techniciens de l’UCP ont assuré tant bien que mal la mise en œuvre des activités et le côté administration / finances avec l’appui de l’équipe de PNUD à Antananarivo. La nomination du Directeur Régional de l’Environnement et du Développement Durable (DREDD) </w:t>
      </w:r>
      <w:proofErr w:type="spellStart"/>
      <w:r w:rsidR="000A1BCC" w:rsidRPr="00F55BDF">
        <w:t>Atsimo</w:t>
      </w:r>
      <w:proofErr w:type="spellEnd"/>
      <w:r w:rsidR="000A1BCC" w:rsidRPr="00F55BDF">
        <w:t xml:space="preserve"> </w:t>
      </w:r>
      <w:proofErr w:type="spellStart"/>
      <w:r w:rsidR="000A1BCC" w:rsidRPr="00F55BDF">
        <w:t>Andrefana</w:t>
      </w:r>
      <w:proofErr w:type="spellEnd"/>
      <w:r w:rsidR="000A1BCC" w:rsidRPr="00F55BDF">
        <w:t xml:space="preserve"> comme DNP suppléant du projeta APAA a facilité les démarches administratives</w:t>
      </w:r>
      <w:r w:rsidR="007659D5" w:rsidRPr="00F55BDF">
        <w:t xml:space="preserve"> et la mise en œuvre des activités de la Composante 1 du projet (planification territoriale à l’échelle des paysages de l’</w:t>
      </w:r>
      <w:proofErr w:type="spellStart"/>
      <w:r w:rsidR="007659D5" w:rsidRPr="00F55BDF">
        <w:t>Atsimo</w:t>
      </w:r>
      <w:proofErr w:type="spellEnd"/>
      <w:r w:rsidR="007659D5" w:rsidRPr="00F55BDF">
        <w:t xml:space="preserve"> </w:t>
      </w:r>
      <w:proofErr w:type="spellStart"/>
      <w:r w:rsidR="007659D5" w:rsidRPr="00F55BDF">
        <w:t>Andrefana</w:t>
      </w:r>
      <w:proofErr w:type="spellEnd"/>
      <w:r w:rsidR="007659D5" w:rsidRPr="00F55BDF">
        <w:t>). Ce qui n’est pas le cas pour la mise en œuvre des activités de la Composante 2 (création des 07 APC et amélioration des conditions de vie des populations locales) où le manque de coordination se fait sentir durant le 1</w:t>
      </w:r>
      <w:r w:rsidR="007659D5" w:rsidRPr="00F55BDF">
        <w:rPr>
          <w:vertAlign w:val="superscript"/>
        </w:rPr>
        <w:t>er</w:t>
      </w:r>
      <w:r w:rsidR="007659D5" w:rsidRPr="00F55BDF">
        <w:t xml:space="preserve"> semestre de l’année 2019. </w:t>
      </w:r>
      <w:r w:rsidR="009A0FFD" w:rsidRPr="00F55BDF">
        <w:t xml:space="preserve">L’organisation d’une réunion de coordination mensuelle entre les parties prenantes au niveau régionale (UCP, DREDD, </w:t>
      </w:r>
      <w:proofErr w:type="spellStart"/>
      <w:r w:rsidR="009A0FFD" w:rsidRPr="00F55BDF">
        <w:t>Tany</w:t>
      </w:r>
      <w:proofErr w:type="spellEnd"/>
      <w:r w:rsidR="009A0FFD" w:rsidRPr="00F55BDF">
        <w:t xml:space="preserve"> </w:t>
      </w:r>
      <w:proofErr w:type="spellStart"/>
      <w:r w:rsidR="009A0FFD" w:rsidRPr="00F55BDF">
        <w:t>Meva</w:t>
      </w:r>
      <w:proofErr w:type="spellEnd"/>
      <w:r w:rsidR="009A0FFD" w:rsidRPr="00F55BDF">
        <w:t xml:space="preserve"> et SAGE) est décidée afin de mieux coordonner les actions de rattrapage durant le dernier semestre de l’année. Une réunion extraordinaire du COPIL a été organisée au mois de septembre pour apporter une gestion adaptative </w:t>
      </w:r>
      <w:r w:rsidR="00EB19C5" w:rsidRPr="00F55BDF">
        <w:t xml:space="preserve">au projet sur la réaffectation de budget sur certaines activités suivant l’analyse faite. </w:t>
      </w:r>
    </w:p>
    <w:p w14:paraId="5011DE99" w14:textId="68D5296C" w:rsidR="007659D5" w:rsidRPr="00F55BDF" w:rsidRDefault="007659D5" w:rsidP="007659D5">
      <w:pPr>
        <w:jc w:val="both"/>
      </w:pPr>
      <w:r w:rsidRPr="00F55BDF">
        <w:t xml:space="preserve">Pour la Composante 1 : 09 activités sur les 15 planifiées sont réalisées ; 02 en cours de réalisation et 04 non initiées. </w:t>
      </w:r>
      <w:r w:rsidR="00EB19C5" w:rsidRPr="00F55BDF">
        <w:t>Les 02 activités en cours concernent l’élaboration et validation du Document d’Orientation relatif à la Gestion des Menaces Environnementales (DOGME) et</w:t>
      </w:r>
      <w:r w:rsidR="006103CE" w:rsidRPr="00F55BDF">
        <w:t xml:space="preserve"> l’opérationnalisation de l’Observatoire de la Biodiversité et des Ecosystèmes Régionaux (OBER). Tandis que l</w:t>
      </w:r>
      <w:r w:rsidRPr="00F55BDF">
        <w:t xml:space="preserve">es 04 activités non initiées sont des travaux de consultance avec </w:t>
      </w:r>
      <w:r w:rsidR="00314678" w:rsidRPr="00F55BDF">
        <w:t>une réalisation d’au moins 03 mois d’intervention ; il s’agit (i) de l’évaluation de la valeur économique des services écosystémiques des 10 AP et 07 APC </w:t>
      </w:r>
      <w:r w:rsidR="009A0FFD" w:rsidRPr="00F55BDF">
        <w:t xml:space="preserve">avec </w:t>
      </w:r>
      <w:r w:rsidR="00314678" w:rsidRPr="00F55BDF">
        <w:t>l’étude de faisabilité des potentialités économiques des 07 APC en connectivité avec les AP existantes dans l’</w:t>
      </w:r>
      <w:proofErr w:type="spellStart"/>
      <w:r w:rsidR="00314678" w:rsidRPr="00F55BDF">
        <w:t>Atsimo</w:t>
      </w:r>
      <w:proofErr w:type="spellEnd"/>
      <w:r w:rsidR="00314678" w:rsidRPr="00F55BDF">
        <w:t xml:space="preserve"> </w:t>
      </w:r>
      <w:proofErr w:type="spellStart"/>
      <w:r w:rsidR="00314678" w:rsidRPr="00F55BDF">
        <w:t>Andrefana</w:t>
      </w:r>
      <w:proofErr w:type="spellEnd"/>
      <w:r w:rsidR="00314678" w:rsidRPr="00F55BDF">
        <w:t xml:space="preserve"> ; </w:t>
      </w:r>
      <w:r w:rsidR="009A0FFD" w:rsidRPr="00F55BDF">
        <w:t xml:space="preserve">(ii) la collaboration public / privé par un accord entre DREDD/ONE et une compagnie privé pour tester la gestion améliorée de menaces ; </w:t>
      </w:r>
      <w:r w:rsidR="00314678" w:rsidRPr="00F55BDF">
        <w:t>(iii) de l’analyse et proposition des textes juridiques environnementaux existants et enfin (iv) la réalisation des activités de l</w:t>
      </w:r>
      <w:r w:rsidR="009F1CD6" w:rsidRPr="00F55BDF">
        <w:t>a coopération</w:t>
      </w:r>
      <w:r w:rsidR="00314678" w:rsidRPr="00F55BDF">
        <w:t xml:space="preserve"> sud-sud. Des offres ont été lancées deux fois pour certaines offres de consultances mais restent infructueuses. La période d’appel d’offres et le délai de mise en œuvre n’ont pas permis de réaliser les activités à temps pour 2019. Ainsi, ces activités sont reportées pour l’année 2020 avec une meilleure planification et suivi dès le lancement de l’appel d’offres à temps et une bonne collaboration entre l’équipe de l’UCP et l’équipe de l’UPM du PNUD à Antananarivo. </w:t>
      </w:r>
    </w:p>
    <w:p w14:paraId="06F83D8F" w14:textId="2FC83D0B" w:rsidR="00EB19C5" w:rsidRPr="00F55BDF" w:rsidRDefault="00EB19C5" w:rsidP="007659D5">
      <w:pPr>
        <w:jc w:val="both"/>
      </w:pPr>
      <w:r w:rsidRPr="00F55BDF">
        <w:t>Pour la Composante 2 : 0</w:t>
      </w:r>
      <w:r w:rsidR="005B3900" w:rsidRPr="00F55BDF">
        <w:t>6</w:t>
      </w:r>
      <w:r w:rsidRPr="00F55BDF">
        <w:t xml:space="preserve"> activités sur 1</w:t>
      </w:r>
      <w:r w:rsidR="005B3900" w:rsidRPr="00F55BDF">
        <w:t>7</w:t>
      </w:r>
      <w:r w:rsidRPr="00F55BDF">
        <w:t xml:space="preserve"> planifiées sont réalisées, 09 sont en cours de réalisation et 02 ne sont pas initiées. Ces deux activités sont entre autres (i) l’accès </w:t>
      </w:r>
      <w:r w:rsidR="006103CE" w:rsidRPr="00F55BDF">
        <w:t>à la microfinance</w:t>
      </w:r>
      <w:r w:rsidRPr="00F55BDF">
        <w:t xml:space="preserve"> pour les communautés locales et (ii) le développement de l’écotourisme dans les 07 APC. </w:t>
      </w:r>
      <w:r w:rsidR="006103CE" w:rsidRPr="00F55BDF">
        <w:t>Les populations locales sont très réticentes à emprunter de l’argent auprès des institutions de microfinances. Avec l’échange et en partant de l’expérience d</w:t>
      </w:r>
      <w:r w:rsidR="005610E3" w:rsidRPr="00F55BDF">
        <w:t>u projet</w:t>
      </w:r>
      <w:r w:rsidR="006103CE" w:rsidRPr="00F55BDF">
        <w:t xml:space="preserve"> PDSPE, </w:t>
      </w:r>
      <w:r w:rsidR="005610E3" w:rsidRPr="00F55BDF">
        <w:t xml:space="preserve">les actions à mener seront axées sur le </w:t>
      </w:r>
      <w:r w:rsidR="005610E3" w:rsidRPr="00F55BDF">
        <w:lastRenderedPageBreak/>
        <w:t xml:space="preserve">développement des AGR et l’éducation à l’épargne auprès des microfinances. Les activités de l’écotourisme dépendent de l’étude de faisabilité à faire au niveau de la composante 1. La </w:t>
      </w:r>
      <w:r w:rsidR="00C2696A" w:rsidRPr="00F55BDF">
        <w:t>non-réalisation</w:t>
      </w:r>
      <w:r w:rsidR="005610E3" w:rsidRPr="00F55BDF">
        <w:t xml:space="preserve"> des 09 activités est due surtout à la </w:t>
      </w:r>
      <w:r w:rsidR="00C2696A" w:rsidRPr="00F55BDF">
        <w:t>non-maîtrise</w:t>
      </w:r>
      <w:r w:rsidR="005610E3" w:rsidRPr="00F55BDF">
        <w:t xml:space="preserve"> du processus de création des APC par les partenaires de mise en œuvre de la Composante 2 au début de l’année et qui se manifeste par l’hésitation et la disparité des actions. La Fondation </w:t>
      </w:r>
      <w:proofErr w:type="spellStart"/>
      <w:r w:rsidR="005610E3" w:rsidRPr="00F55BDF">
        <w:t>Tany</w:t>
      </w:r>
      <w:proofErr w:type="spellEnd"/>
      <w:r w:rsidR="005610E3" w:rsidRPr="00F55BDF">
        <w:t xml:space="preserve"> </w:t>
      </w:r>
      <w:proofErr w:type="spellStart"/>
      <w:r w:rsidR="005610E3" w:rsidRPr="00F55BDF">
        <w:t>Meva</w:t>
      </w:r>
      <w:proofErr w:type="spellEnd"/>
      <w:r w:rsidR="005610E3" w:rsidRPr="00F55BDF">
        <w:t xml:space="preserve"> a connu des difficultés dans la mise en œuvre des activités sur le plan technique (manque d’expériences) et surtout l’équipe technique sur le terrain est très </w:t>
      </w:r>
      <w:r w:rsidR="00C2696A" w:rsidRPr="00F55BDF">
        <w:t>handicapée</w:t>
      </w:r>
      <w:r w:rsidR="005610E3" w:rsidRPr="00F55BDF">
        <w:t xml:space="preserve"> par la lourdeur administrative (transfert de fonds, validation, …)</w:t>
      </w:r>
      <w:r w:rsidR="005610E3" w:rsidRPr="00F55BDF">
        <w:rPr>
          <w:rStyle w:val="FootnoteReference"/>
        </w:rPr>
        <w:footnoteReference w:id="3"/>
      </w:r>
      <w:r w:rsidR="005610E3" w:rsidRPr="00F55BDF">
        <w:t xml:space="preserve">. </w:t>
      </w:r>
      <w:r w:rsidR="00C2696A" w:rsidRPr="00F55BDF">
        <w:t xml:space="preserve">Les mesures prises durant le second semestre sont : (i) l’organisation des réunions de coordination mensuelle afin d’assurer plus de synergie dans la mise en œuvre avec une uniformatisation des actions des deux partenaires ; (ii) la collaboration étroite avec l’équipe du Service des Aires Protégées du MEDD et (iii) </w:t>
      </w:r>
      <w:proofErr w:type="spellStart"/>
      <w:r w:rsidR="00C2696A" w:rsidRPr="00F55BDF">
        <w:t>Tany</w:t>
      </w:r>
      <w:proofErr w:type="spellEnd"/>
      <w:r w:rsidR="00C2696A" w:rsidRPr="00F55BDF">
        <w:t xml:space="preserve"> </w:t>
      </w:r>
      <w:proofErr w:type="spellStart"/>
      <w:r w:rsidR="00C2696A" w:rsidRPr="00F55BDF">
        <w:t>Meva</w:t>
      </w:r>
      <w:proofErr w:type="spellEnd"/>
      <w:r w:rsidR="00C2696A" w:rsidRPr="00F55BDF">
        <w:t xml:space="preserve"> a procédé aussi à une réorganisation de l’équipe de mise en œuvre au cours du second semestre. </w:t>
      </w:r>
    </w:p>
    <w:p w14:paraId="724F714F" w14:textId="73B90857" w:rsidR="003E66AB" w:rsidRPr="00F55BDF" w:rsidRDefault="003E66AB" w:rsidP="00542A3A">
      <w:pPr>
        <w:pStyle w:val="ListParagraph"/>
        <w:rPr>
          <w:lang w:val="fr-FR"/>
        </w:rPr>
      </w:pPr>
    </w:p>
    <w:p w14:paraId="5559D574" w14:textId="7D26C64A" w:rsidR="00542A3A" w:rsidRPr="00F55BDF" w:rsidRDefault="00204E92" w:rsidP="00246439">
      <w:pPr>
        <w:pStyle w:val="ListParagraph"/>
        <w:numPr>
          <w:ilvl w:val="0"/>
          <w:numId w:val="1"/>
        </w:numPr>
        <w:rPr>
          <w:b/>
          <w:i/>
          <w:sz w:val="24"/>
          <w:lang w:val="fr-FR"/>
        </w:rPr>
      </w:pPr>
      <w:r w:rsidRPr="00F55BDF">
        <w:rPr>
          <w:b/>
          <w:i/>
          <w:sz w:val="24"/>
          <w:lang w:val="fr-FR"/>
        </w:rPr>
        <w:t>Prise en compte du g</w:t>
      </w:r>
      <w:r w:rsidR="003E41C4" w:rsidRPr="00F55BDF">
        <w:rPr>
          <w:b/>
          <w:i/>
          <w:sz w:val="24"/>
          <w:lang w:val="fr-FR"/>
        </w:rPr>
        <w:t xml:space="preserve">enre </w:t>
      </w:r>
    </w:p>
    <w:p w14:paraId="725E9AF4" w14:textId="65D9D6A5" w:rsidR="003E41C4" w:rsidRPr="00F55BDF" w:rsidRDefault="003E66AB" w:rsidP="00000074">
      <w:pPr>
        <w:spacing w:after="0"/>
        <w:rPr>
          <w:color w:val="404040" w:themeColor="text1" w:themeTint="BF"/>
        </w:rPr>
      </w:pPr>
      <w:r w:rsidRPr="00F55BDF">
        <w:rPr>
          <w:color w:val="404040" w:themeColor="text1" w:themeTint="BF"/>
        </w:rPr>
        <w:t>(Décrire</w:t>
      </w:r>
      <w:r w:rsidR="00683E09" w:rsidRPr="00F55BDF">
        <w:rPr>
          <w:color w:val="404040" w:themeColor="text1" w:themeTint="BF"/>
        </w:rPr>
        <w:t xml:space="preserve"> les résultats </w:t>
      </w:r>
      <w:r w:rsidRPr="00F55BDF">
        <w:rPr>
          <w:color w:val="404040" w:themeColor="text1" w:themeTint="BF"/>
        </w:rPr>
        <w:t>éventuels obtenus sur le genre au</w:t>
      </w:r>
      <w:r w:rsidR="00683E09" w:rsidRPr="00F55BDF">
        <w:rPr>
          <w:color w:val="404040" w:themeColor="text1" w:themeTint="BF"/>
        </w:rPr>
        <w:t xml:space="preserve"> </w:t>
      </w:r>
      <w:r w:rsidRPr="00F55BDF">
        <w:rPr>
          <w:color w:val="404040" w:themeColor="text1" w:themeTint="BF"/>
        </w:rPr>
        <w:t>niveau Produit et Effets,</w:t>
      </w:r>
      <w:r w:rsidR="00683E09" w:rsidRPr="00F55BDF">
        <w:rPr>
          <w:color w:val="404040" w:themeColor="text1" w:themeTint="BF"/>
        </w:rPr>
        <w:t xml:space="preserve"> mais pas </w:t>
      </w:r>
      <w:r w:rsidR="00665410" w:rsidRPr="00F55BDF">
        <w:rPr>
          <w:color w:val="404040" w:themeColor="text1" w:themeTint="BF"/>
        </w:rPr>
        <w:t xml:space="preserve">les </w:t>
      </w:r>
      <w:r w:rsidR="00683E09" w:rsidRPr="00F55BDF">
        <w:rPr>
          <w:color w:val="404040" w:themeColor="text1" w:themeTint="BF"/>
        </w:rPr>
        <w:t>activités</w:t>
      </w:r>
      <w:r w:rsidR="00CC7C12" w:rsidRPr="00F55BDF">
        <w:rPr>
          <w:color w:val="404040" w:themeColor="text1" w:themeTint="BF"/>
        </w:rPr>
        <w:t>)</w:t>
      </w:r>
      <w:r w:rsidR="00683E09" w:rsidRPr="00F55BDF">
        <w:rPr>
          <w:color w:val="404040" w:themeColor="text1" w:themeTint="BF"/>
        </w:rPr>
        <w:t>.</w:t>
      </w:r>
    </w:p>
    <w:p w14:paraId="326B7E59" w14:textId="06FED81A" w:rsidR="00723618" w:rsidRPr="00F55BDF" w:rsidRDefault="005024B4" w:rsidP="000C7DB2">
      <w:pPr>
        <w:spacing w:after="0"/>
        <w:jc w:val="both"/>
        <w:rPr>
          <w:iCs/>
          <w:color w:val="404040" w:themeColor="text1" w:themeTint="BF"/>
        </w:rPr>
      </w:pPr>
      <w:r w:rsidRPr="00F55BDF">
        <w:rPr>
          <w:iCs/>
          <w:color w:val="404040" w:themeColor="text1" w:themeTint="BF"/>
        </w:rPr>
        <w:t xml:space="preserve">Au niveau du projet, un équilibre entre le nombre homme vs femme est relativement respecté. Les membres de l’Equipe Technique Restreinte (ETR) qui entre dans la conception et la mise en œuvre de l’Outil de Planification Territoriale tenant compte de la Biodiversité (OPT BD) sont constitués par 05 femmes et 05 hommes. Le DNP est un homme et la DNPS est une femme. </w:t>
      </w:r>
      <w:r w:rsidR="000C7DB2" w:rsidRPr="00F55BDF">
        <w:rPr>
          <w:iCs/>
          <w:color w:val="404040" w:themeColor="text1" w:themeTint="BF"/>
        </w:rPr>
        <w:t xml:space="preserve">Au sein de l’UCP, sur les 07 membres de l’équipe, il n’y a que 2 femmes. Pour l’équipe technique représentante du MEDD ; </w:t>
      </w:r>
      <w:r w:rsidR="000A70B3" w:rsidRPr="00F55BDF">
        <w:rPr>
          <w:iCs/>
          <w:color w:val="404040" w:themeColor="text1" w:themeTint="BF"/>
        </w:rPr>
        <w:t xml:space="preserve">04 sur les 09 sont des femmes. Les représentants de l’équipe technique de la DREDD </w:t>
      </w:r>
      <w:proofErr w:type="spellStart"/>
      <w:r w:rsidR="000A70B3" w:rsidRPr="00F55BDF">
        <w:rPr>
          <w:iCs/>
          <w:color w:val="404040" w:themeColor="text1" w:themeTint="BF"/>
        </w:rPr>
        <w:t>Atsimo</w:t>
      </w:r>
      <w:proofErr w:type="spellEnd"/>
      <w:r w:rsidR="000A70B3" w:rsidRPr="00F55BDF">
        <w:rPr>
          <w:iCs/>
          <w:color w:val="404040" w:themeColor="text1" w:themeTint="BF"/>
        </w:rPr>
        <w:t xml:space="preserve"> </w:t>
      </w:r>
      <w:proofErr w:type="spellStart"/>
      <w:r w:rsidR="000A70B3" w:rsidRPr="00F55BDF">
        <w:rPr>
          <w:iCs/>
          <w:color w:val="404040" w:themeColor="text1" w:themeTint="BF"/>
        </w:rPr>
        <w:t>Andrefana</w:t>
      </w:r>
      <w:proofErr w:type="spellEnd"/>
      <w:r w:rsidR="000A70B3" w:rsidRPr="00F55BDF">
        <w:rPr>
          <w:iCs/>
          <w:color w:val="404040" w:themeColor="text1" w:themeTint="BF"/>
        </w:rPr>
        <w:t xml:space="preserve"> sont constitués de 04 femmes et de 06 hommes. </w:t>
      </w:r>
      <w:r w:rsidRPr="00F55BDF">
        <w:rPr>
          <w:iCs/>
          <w:color w:val="404040" w:themeColor="text1" w:themeTint="BF"/>
        </w:rPr>
        <w:t>Durant les réunions du COPIL, les coprésidents sont Mr le SG du MEDD et Mme le RR du PNUD. En revanche, durant l</w:t>
      </w:r>
      <w:r w:rsidR="000C7DB2" w:rsidRPr="00F55BDF">
        <w:rPr>
          <w:iCs/>
          <w:color w:val="404040" w:themeColor="text1" w:themeTint="BF"/>
        </w:rPr>
        <w:t xml:space="preserve">a réunion ordinaire du COPIL du 11 juillet, seules 07 sur les 28 participants sont des femmes. Tandis que lors de la réunion extraordinaire du COPIL du 17 septembre 2019, 6 sur les 13 participants sont des femmes. </w:t>
      </w:r>
    </w:p>
    <w:p w14:paraId="24FD07F0" w14:textId="77777777" w:rsidR="00AA43A9" w:rsidRPr="00F55BDF" w:rsidRDefault="000A70B3" w:rsidP="000A70B3">
      <w:pPr>
        <w:spacing w:after="0"/>
        <w:jc w:val="both"/>
        <w:rPr>
          <w:iCs/>
          <w:color w:val="404040" w:themeColor="text1" w:themeTint="BF"/>
        </w:rPr>
      </w:pPr>
      <w:r w:rsidRPr="00F55BDF">
        <w:rPr>
          <w:iCs/>
          <w:color w:val="404040" w:themeColor="text1" w:themeTint="BF"/>
        </w:rPr>
        <w:t xml:space="preserve">Au niveau des communautés et des bénéficiaires locales ; 25% des membres des structures de gestion seulement sont des femmes au niveau des 07 APC. Il est à noter que c’est seulement depuis 2018 que le processus de création des APC a débuté, ainsi que la mise en place de ses structures de gestion. Dans les autres AP de la Région </w:t>
      </w:r>
      <w:proofErr w:type="spellStart"/>
      <w:r w:rsidRPr="00F55BDF">
        <w:rPr>
          <w:iCs/>
          <w:color w:val="404040" w:themeColor="text1" w:themeTint="BF"/>
        </w:rPr>
        <w:t>Atsimo</w:t>
      </w:r>
      <w:proofErr w:type="spellEnd"/>
      <w:r w:rsidRPr="00F55BDF">
        <w:rPr>
          <w:iCs/>
          <w:color w:val="404040" w:themeColor="text1" w:themeTint="BF"/>
        </w:rPr>
        <w:t xml:space="preserve"> </w:t>
      </w:r>
      <w:proofErr w:type="spellStart"/>
      <w:r w:rsidRPr="00F55BDF">
        <w:rPr>
          <w:iCs/>
          <w:color w:val="404040" w:themeColor="text1" w:themeTint="BF"/>
        </w:rPr>
        <w:t>Andrefana</w:t>
      </w:r>
      <w:proofErr w:type="spellEnd"/>
      <w:r w:rsidRPr="00F55BDF">
        <w:rPr>
          <w:iCs/>
          <w:color w:val="404040" w:themeColor="text1" w:themeTint="BF"/>
        </w:rPr>
        <w:t xml:space="preserve"> et les TGRN, où le processus de création a commencé depuis 2006, seules 04 AP sur 10 ont un score de 45% de femmes membres des structures de gestion. Avec cette analyse du contexte régional et local, nous pensions que c’est en bonne voie même si beaucoup d’efforts doivent être faits. L’a</w:t>
      </w:r>
      <w:r w:rsidR="00207A06" w:rsidRPr="00F55BDF">
        <w:rPr>
          <w:iCs/>
          <w:color w:val="404040" w:themeColor="text1" w:themeTint="BF"/>
        </w:rPr>
        <w:t>pproche adoptée est en lien avec le développement des AGR avec l’implication des femmes et des jeunes. Au fait,</w:t>
      </w:r>
      <w:r w:rsidR="00283328" w:rsidRPr="00F55BDF">
        <w:rPr>
          <w:iCs/>
          <w:color w:val="404040" w:themeColor="text1" w:themeTint="BF"/>
        </w:rPr>
        <w:t xml:space="preserve"> dans la société traditionnelle de l’</w:t>
      </w:r>
      <w:proofErr w:type="spellStart"/>
      <w:r w:rsidR="00283328" w:rsidRPr="00F55BDF">
        <w:rPr>
          <w:iCs/>
          <w:color w:val="404040" w:themeColor="text1" w:themeTint="BF"/>
        </w:rPr>
        <w:t>Atsimo</w:t>
      </w:r>
      <w:proofErr w:type="spellEnd"/>
      <w:r w:rsidR="00283328" w:rsidRPr="00F55BDF">
        <w:rPr>
          <w:iCs/>
          <w:color w:val="404040" w:themeColor="text1" w:themeTint="BF"/>
        </w:rPr>
        <w:t xml:space="preserve"> </w:t>
      </w:r>
      <w:proofErr w:type="spellStart"/>
      <w:r w:rsidR="00283328" w:rsidRPr="00F55BDF">
        <w:rPr>
          <w:iCs/>
          <w:color w:val="404040" w:themeColor="text1" w:themeTint="BF"/>
        </w:rPr>
        <w:t>Andrefana</w:t>
      </w:r>
      <w:proofErr w:type="spellEnd"/>
      <w:r w:rsidR="00283328" w:rsidRPr="00F55BDF">
        <w:rPr>
          <w:iCs/>
          <w:color w:val="404040" w:themeColor="text1" w:themeTint="BF"/>
        </w:rPr>
        <w:t xml:space="preserve"> en général et dans les zones d’intervention du projet en particulier,</w:t>
      </w:r>
      <w:r w:rsidR="00207A06" w:rsidRPr="00F55BDF">
        <w:rPr>
          <w:iCs/>
          <w:color w:val="404040" w:themeColor="text1" w:themeTint="BF"/>
        </w:rPr>
        <w:t xml:space="preserve"> les femmes </w:t>
      </w:r>
      <w:r w:rsidR="00283328" w:rsidRPr="00F55BDF">
        <w:rPr>
          <w:iCs/>
          <w:color w:val="404040" w:themeColor="text1" w:themeTint="BF"/>
        </w:rPr>
        <w:t xml:space="preserve">ne prennent pas les décisions directement mais leurs « voix » sont transmises d’une manière indirecte aux décideurs, que sont les hommes. Ces derniers ne sont autres que leurs pères, frères et oncles. C’est pourquoi, en cas de prise de décision qui implique et engage directement toute la communauté, il y a toujours le fameux </w:t>
      </w:r>
      <w:r w:rsidR="00283328" w:rsidRPr="00F55BDF">
        <w:rPr>
          <w:i/>
          <w:color w:val="404040" w:themeColor="text1" w:themeTint="BF"/>
        </w:rPr>
        <w:t>« </w:t>
      </w:r>
      <w:proofErr w:type="spellStart"/>
      <w:r w:rsidR="00283328" w:rsidRPr="00F55BDF">
        <w:rPr>
          <w:i/>
          <w:color w:val="404040" w:themeColor="text1" w:themeTint="BF"/>
        </w:rPr>
        <w:t>mihofika</w:t>
      </w:r>
      <w:proofErr w:type="spellEnd"/>
      <w:r w:rsidR="00283328" w:rsidRPr="00F55BDF">
        <w:rPr>
          <w:i/>
          <w:color w:val="404040" w:themeColor="text1" w:themeTint="BF"/>
        </w:rPr>
        <w:t> »</w:t>
      </w:r>
      <w:r w:rsidR="00283328" w:rsidRPr="00F55BDF">
        <w:rPr>
          <w:iCs/>
          <w:color w:val="404040" w:themeColor="text1" w:themeTint="BF"/>
        </w:rPr>
        <w:t xml:space="preserve"> ou « retrait » (littéralement), qui consiste à </w:t>
      </w:r>
      <w:r w:rsidR="00501AEB" w:rsidRPr="00F55BDF">
        <w:rPr>
          <w:iCs/>
          <w:color w:val="404040" w:themeColor="text1" w:themeTint="BF"/>
        </w:rPr>
        <w:t>se retirer de la réunion durant</w:t>
      </w:r>
      <w:r w:rsidR="00283328" w:rsidRPr="00F55BDF">
        <w:rPr>
          <w:iCs/>
          <w:color w:val="404040" w:themeColor="text1" w:themeTint="BF"/>
        </w:rPr>
        <w:t xml:space="preserve"> un moment défini </w:t>
      </w:r>
      <w:r w:rsidR="00501AEB" w:rsidRPr="00F55BDF">
        <w:rPr>
          <w:iCs/>
          <w:color w:val="404040" w:themeColor="text1" w:themeTint="BF"/>
        </w:rPr>
        <w:t>où les membres</w:t>
      </w:r>
      <w:r w:rsidR="00283328" w:rsidRPr="00F55BDF">
        <w:rPr>
          <w:iCs/>
          <w:color w:val="404040" w:themeColor="text1" w:themeTint="BF"/>
        </w:rPr>
        <w:t xml:space="preserve"> de la communauté</w:t>
      </w:r>
      <w:r w:rsidR="00501AEB" w:rsidRPr="00F55BDF">
        <w:rPr>
          <w:iCs/>
          <w:color w:val="404040" w:themeColor="text1" w:themeTint="BF"/>
        </w:rPr>
        <w:t xml:space="preserve">, y compris les femmes, se consultent et se concertent entre eux et prennent une décision commune. C’est seulement après que tout le monde retourne à la réunion et un porte-parole annonce la décision devant l’assemblé.  </w:t>
      </w:r>
    </w:p>
    <w:p w14:paraId="47DEF313" w14:textId="1C9C966E" w:rsidR="001619FE" w:rsidRPr="00F55BDF" w:rsidRDefault="00AA43A9" w:rsidP="000A70B3">
      <w:pPr>
        <w:spacing w:after="0"/>
        <w:jc w:val="both"/>
        <w:rPr>
          <w:iCs/>
          <w:color w:val="404040" w:themeColor="text1" w:themeTint="BF"/>
        </w:rPr>
      </w:pPr>
      <w:r w:rsidRPr="00F55BDF">
        <w:rPr>
          <w:iCs/>
          <w:color w:val="404040" w:themeColor="text1" w:themeTint="BF"/>
        </w:rPr>
        <w:lastRenderedPageBreak/>
        <w:t>L’indicateur pour le nombre d’</w:t>
      </w:r>
      <w:r w:rsidR="00501AEB" w:rsidRPr="00F55BDF">
        <w:rPr>
          <w:iCs/>
          <w:color w:val="404040" w:themeColor="text1" w:themeTint="BF"/>
        </w:rPr>
        <w:t>emplois verts</w:t>
      </w:r>
      <w:r w:rsidRPr="00F55BDF">
        <w:rPr>
          <w:iCs/>
          <w:color w:val="404040" w:themeColor="text1" w:themeTint="BF"/>
        </w:rPr>
        <w:t xml:space="preserve"> à créer pour 2019 n’est pas déterminé au début de l’année. Sur les 24 créés pour 2019, 18 sont des femmes dont 02 jeunes. Pour 2019, il s’agit surtout de l’identification des filières à développer et la formation des personnes affectées par le projet de création des 07 APC pour les AGR. Ainsi, sur les 676 personnes formées</w:t>
      </w:r>
      <w:r w:rsidR="009C4BD8" w:rsidRPr="00F55BDF">
        <w:rPr>
          <w:iCs/>
          <w:color w:val="404040" w:themeColor="text1" w:themeTint="BF"/>
        </w:rPr>
        <w:t xml:space="preserve"> en filières agricole et rurale (élevage caprin, canard, apiculture, pépinière)</w:t>
      </w:r>
      <w:r w:rsidRPr="00F55BDF">
        <w:rPr>
          <w:iCs/>
          <w:color w:val="404040" w:themeColor="text1" w:themeTint="BF"/>
        </w:rPr>
        <w:t xml:space="preserve">, 159 sont des jeunes </w:t>
      </w:r>
      <w:r w:rsidR="009C4BD8" w:rsidRPr="00F55BDF">
        <w:rPr>
          <w:iCs/>
          <w:color w:val="404040" w:themeColor="text1" w:themeTint="BF"/>
        </w:rPr>
        <w:t xml:space="preserve">et 146 sont des femmes. </w:t>
      </w:r>
    </w:p>
    <w:p w14:paraId="7C6388FA" w14:textId="77777777" w:rsidR="003E41C4" w:rsidRPr="00F55BDF" w:rsidRDefault="00CC7C12" w:rsidP="00246439">
      <w:pPr>
        <w:pStyle w:val="ListParagraph"/>
        <w:numPr>
          <w:ilvl w:val="0"/>
          <w:numId w:val="1"/>
        </w:numPr>
        <w:rPr>
          <w:b/>
          <w:i/>
          <w:sz w:val="24"/>
          <w:lang w:val="fr-FR"/>
        </w:rPr>
      </w:pPr>
      <w:r w:rsidRPr="00F55BDF">
        <w:rPr>
          <w:b/>
          <w:i/>
          <w:sz w:val="24"/>
          <w:lang w:val="fr-FR"/>
        </w:rPr>
        <w:t>Coopération Sud-Sud</w:t>
      </w:r>
    </w:p>
    <w:p w14:paraId="118AC9E5" w14:textId="1611AF68" w:rsidR="003E41C4" w:rsidRPr="00F55BDF" w:rsidRDefault="003E66AB" w:rsidP="00FF427E">
      <w:pPr>
        <w:spacing w:after="0"/>
        <w:jc w:val="both"/>
        <w:rPr>
          <w:color w:val="404040" w:themeColor="text1" w:themeTint="BF"/>
        </w:rPr>
      </w:pPr>
      <w:r w:rsidRPr="00F55BDF">
        <w:rPr>
          <w:color w:val="404040" w:themeColor="text1" w:themeTint="BF"/>
        </w:rPr>
        <w:t>(</w:t>
      </w:r>
      <w:r w:rsidR="008C363C" w:rsidRPr="00F55BDF">
        <w:rPr>
          <w:color w:val="404040" w:themeColor="text1" w:themeTint="BF"/>
        </w:rPr>
        <w:t>Lister les échanges de coopérations Sud-Sud dont le projet/programme est impliqué. Avec quel pays et quels autres partenaires, quels ont été les résultats obtenus ?</w:t>
      </w:r>
      <w:r w:rsidR="00665410" w:rsidRPr="00F55BDF">
        <w:rPr>
          <w:color w:val="404040" w:themeColor="text1" w:themeTint="BF"/>
        </w:rPr>
        <w:t xml:space="preserve"> En quoi les actions en matière de coopération sud-sud ont contribué à l’atteinte des résultats du projet</w:t>
      </w:r>
      <w:r w:rsidRPr="00F55BDF">
        <w:rPr>
          <w:color w:val="404040" w:themeColor="text1" w:themeTint="BF"/>
        </w:rPr>
        <w:t>)</w:t>
      </w:r>
    </w:p>
    <w:p w14:paraId="1E4BDBB1" w14:textId="62D194EC" w:rsidR="003D7D1E" w:rsidRPr="00F55BDF" w:rsidRDefault="003D7D1E" w:rsidP="00FF427E">
      <w:pPr>
        <w:spacing w:after="0"/>
        <w:jc w:val="both"/>
        <w:rPr>
          <w:color w:val="404040" w:themeColor="text1" w:themeTint="BF"/>
        </w:rPr>
      </w:pPr>
    </w:p>
    <w:p w14:paraId="0C4BC148" w14:textId="34FD1B65" w:rsidR="009F1CD6" w:rsidRPr="00F55BDF" w:rsidRDefault="009F1CD6" w:rsidP="00FF427E">
      <w:pPr>
        <w:spacing w:after="0"/>
        <w:jc w:val="both"/>
        <w:rPr>
          <w:color w:val="404040" w:themeColor="text1" w:themeTint="BF"/>
        </w:rPr>
      </w:pPr>
      <w:r w:rsidRPr="00F55BDF">
        <w:rPr>
          <w:color w:val="404040" w:themeColor="text1" w:themeTint="BF"/>
        </w:rPr>
        <w:t xml:space="preserve">Les activités sur la coopération sud-sud du PTA 2029 du projet prévoient une seconde visite en Afrique du Sud </w:t>
      </w:r>
      <w:r w:rsidR="00FF427E" w:rsidRPr="00F55BDF">
        <w:rPr>
          <w:color w:val="404040" w:themeColor="text1" w:themeTint="BF"/>
        </w:rPr>
        <w:t>pour le développement d'un film d'apprentissage/partage/capitalisation sur les bonnes pratiques</w:t>
      </w:r>
      <w:r w:rsidR="00A03A7E" w:rsidRPr="00F55BDF">
        <w:rPr>
          <w:color w:val="404040" w:themeColor="text1" w:themeTint="BF"/>
        </w:rPr>
        <w:t xml:space="preserve">. La première visite </w:t>
      </w:r>
      <w:r w:rsidR="00FF427E" w:rsidRPr="00F55BDF">
        <w:rPr>
          <w:color w:val="404040" w:themeColor="text1" w:themeTint="BF"/>
        </w:rPr>
        <w:t xml:space="preserve">de l’équipe du projet </w:t>
      </w:r>
      <w:r w:rsidR="00A03A7E" w:rsidRPr="00F55BDF">
        <w:rPr>
          <w:color w:val="404040" w:themeColor="text1" w:themeTint="BF"/>
        </w:rPr>
        <w:t>s’est déroulée a</w:t>
      </w:r>
      <w:r w:rsidR="00FF427E" w:rsidRPr="00F55BDF">
        <w:rPr>
          <w:color w:val="404040" w:themeColor="text1" w:themeTint="BF"/>
        </w:rPr>
        <w:t xml:space="preserve">u mois d’octobre 2018 sur les thématiques (approche paysage, planification territoriale, gestion communautaire des ressources naturelles). </w:t>
      </w:r>
      <w:r w:rsidR="00A03A7E" w:rsidRPr="00F55BDF">
        <w:rPr>
          <w:color w:val="404040" w:themeColor="text1" w:themeTint="BF"/>
        </w:rPr>
        <w:t xml:space="preserve">Durant la réunion du COPIL du mois de juillet 2019, </w:t>
      </w:r>
      <w:proofErr w:type="gramStart"/>
      <w:r w:rsidR="00A03A7E" w:rsidRPr="00F55BDF">
        <w:rPr>
          <w:color w:val="404040" w:themeColor="text1" w:themeTint="BF"/>
        </w:rPr>
        <w:t>suite à</w:t>
      </w:r>
      <w:proofErr w:type="gramEnd"/>
      <w:r w:rsidR="00A03A7E" w:rsidRPr="00F55BDF">
        <w:rPr>
          <w:color w:val="404040" w:themeColor="text1" w:themeTint="BF"/>
        </w:rPr>
        <w:t xml:space="preserve"> l’observation</w:t>
      </w:r>
      <w:r w:rsidR="009E3FC9" w:rsidRPr="00F55BDF">
        <w:rPr>
          <w:color w:val="404040" w:themeColor="text1" w:themeTint="BF"/>
        </w:rPr>
        <w:t xml:space="preserve"> faite qu’il n’y a pas eu d’échanges avec l’équipe de l’Afrique du Sud durant le 1</w:t>
      </w:r>
      <w:r w:rsidR="009E3FC9" w:rsidRPr="00F55BDF">
        <w:rPr>
          <w:color w:val="404040" w:themeColor="text1" w:themeTint="BF"/>
          <w:vertAlign w:val="superscript"/>
        </w:rPr>
        <w:t>er</w:t>
      </w:r>
      <w:r w:rsidR="009E3FC9" w:rsidRPr="00F55BDF">
        <w:rPr>
          <w:color w:val="404040" w:themeColor="text1" w:themeTint="BF"/>
        </w:rPr>
        <w:t xml:space="preserve"> semestre et qu’aucun partage avec les parties prenantes sur le terrain n’a été fait</w:t>
      </w:r>
      <w:r w:rsidR="00EA6244" w:rsidRPr="00F55BDF">
        <w:rPr>
          <w:color w:val="404040" w:themeColor="text1" w:themeTint="BF"/>
        </w:rPr>
        <w:t xml:space="preserve">. La réunion extraordinaire du COPIL du septembre 2019 </w:t>
      </w:r>
      <w:r w:rsidR="009E3FC9" w:rsidRPr="00F55BDF">
        <w:rPr>
          <w:color w:val="404040" w:themeColor="text1" w:themeTint="BF"/>
        </w:rPr>
        <w:t xml:space="preserve">a </w:t>
      </w:r>
      <w:r w:rsidR="00EA6244" w:rsidRPr="00F55BDF">
        <w:rPr>
          <w:color w:val="404040" w:themeColor="text1" w:themeTint="BF"/>
        </w:rPr>
        <w:t>validé</w:t>
      </w:r>
      <w:r w:rsidR="009E3FC9" w:rsidRPr="00F55BDF">
        <w:rPr>
          <w:color w:val="404040" w:themeColor="text1" w:themeTint="BF"/>
        </w:rPr>
        <w:t xml:space="preserve"> que la seconde visite en Afrique du Sud sera remplacée par une mission de visites échanges dans les Aires Protégées les plus avancées à Madagascar en matières </w:t>
      </w:r>
      <w:r w:rsidR="00EA6244" w:rsidRPr="00F55BDF">
        <w:rPr>
          <w:color w:val="404040" w:themeColor="text1" w:themeTint="BF"/>
        </w:rPr>
        <w:t>(i) d</w:t>
      </w:r>
      <w:r w:rsidR="009E3FC9" w:rsidRPr="00F55BDF">
        <w:rPr>
          <w:color w:val="404040" w:themeColor="text1" w:themeTint="BF"/>
        </w:rPr>
        <w:t xml:space="preserve">e </w:t>
      </w:r>
      <w:r w:rsidR="00EA6244" w:rsidRPr="00F55BDF">
        <w:rPr>
          <w:color w:val="404040" w:themeColor="text1" w:themeTint="BF"/>
        </w:rPr>
        <w:t xml:space="preserve">bonne </w:t>
      </w:r>
      <w:r w:rsidR="009E3FC9" w:rsidRPr="00F55BDF">
        <w:rPr>
          <w:color w:val="404040" w:themeColor="text1" w:themeTint="BF"/>
        </w:rPr>
        <w:t xml:space="preserve">gestion </w:t>
      </w:r>
      <w:r w:rsidR="00EA6244" w:rsidRPr="00F55BDF">
        <w:rPr>
          <w:color w:val="404040" w:themeColor="text1" w:themeTint="BF"/>
        </w:rPr>
        <w:t xml:space="preserve">environnementale que structurale, (ii) de bonne gestion communautaire réussie ; (iii) de bon équilibre entre le développement de l’écotourisme et la conservation et (iv) d’autofinancement pérenne. Ces orientations sont les bonnes pratiques observées en Afrique du Sud. En collaboration avec le Services des Aires Protégées du MEDD, une identification des AP potentielles a été faite et 2 AP dans la Région </w:t>
      </w:r>
      <w:proofErr w:type="spellStart"/>
      <w:r w:rsidR="00EA6244" w:rsidRPr="00F55BDF">
        <w:rPr>
          <w:color w:val="404040" w:themeColor="text1" w:themeTint="BF"/>
        </w:rPr>
        <w:t>Boeny</w:t>
      </w:r>
      <w:proofErr w:type="spellEnd"/>
      <w:r w:rsidR="00EA6244" w:rsidRPr="00F55BDF">
        <w:rPr>
          <w:color w:val="404040" w:themeColor="text1" w:themeTint="BF"/>
        </w:rPr>
        <w:t xml:space="preserve"> et Diana sont proposées. Les participants à cette visite échanges sont ceux qui ont déjà participé à la visite en Afrique du Sud</w:t>
      </w:r>
      <w:r w:rsidR="00D76C59" w:rsidRPr="00F55BDF">
        <w:rPr>
          <w:color w:val="404040" w:themeColor="text1" w:themeTint="BF"/>
        </w:rPr>
        <w:t xml:space="preserve">, </w:t>
      </w:r>
      <w:r w:rsidR="00EA6244" w:rsidRPr="00F55BDF">
        <w:rPr>
          <w:color w:val="404040" w:themeColor="text1" w:themeTint="BF"/>
        </w:rPr>
        <w:t>les parties prenantes</w:t>
      </w:r>
      <w:r w:rsidR="00D76C59" w:rsidRPr="00F55BDF">
        <w:rPr>
          <w:color w:val="404040" w:themeColor="text1" w:themeTint="BF"/>
        </w:rPr>
        <w:t xml:space="preserve"> sur le terrain représentées par les gestionnaires des 07 APC à mettre en place et les techniciens de la DREDD </w:t>
      </w:r>
      <w:proofErr w:type="spellStart"/>
      <w:r w:rsidR="00D76C59" w:rsidRPr="00F55BDF">
        <w:rPr>
          <w:color w:val="404040" w:themeColor="text1" w:themeTint="BF"/>
        </w:rPr>
        <w:t>Atsimo</w:t>
      </w:r>
      <w:proofErr w:type="spellEnd"/>
      <w:r w:rsidR="00D76C59" w:rsidRPr="00F55BDF">
        <w:rPr>
          <w:color w:val="404040" w:themeColor="text1" w:themeTint="BF"/>
        </w:rPr>
        <w:t xml:space="preserve"> </w:t>
      </w:r>
      <w:proofErr w:type="spellStart"/>
      <w:r w:rsidR="00D76C59" w:rsidRPr="00F55BDF">
        <w:rPr>
          <w:color w:val="404040" w:themeColor="text1" w:themeTint="BF"/>
        </w:rPr>
        <w:t>Andrefana</w:t>
      </w:r>
      <w:proofErr w:type="spellEnd"/>
      <w:r w:rsidR="00D76C59" w:rsidRPr="00F55BDF">
        <w:rPr>
          <w:color w:val="404040" w:themeColor="text1" w:themeTint="BF"/>
        </w:rPr>
        <w:t xml:space="preserve"> ainsi que les techniciens du Service des Aires Protégées du MEDD. L’objectif principal est de</w:t>
      </w:r>
      <w:r w:rsidR="00887DF2" w:rsidRPr="00F55BDF">
        <w:rPr>
          <w:color w:val="404040" w:themeColor="text1" w:themeTint="BF"/>
        </w:rPr>
        <w:t xml:space="preserve"> convaincre les futures gestionnaires des 07 APC (les communautés) que la gestion communautaire des AP est possible, pérenne et permet l’utilisation durable des ressources naturelles à travers </w:t>
      </w:r>
      <w:r w:rsidR="00D76C59" w:rsidRPr="00F55BDF">
        <w:rPr>
          <w:color w:val="404040" w:themeColor="text1" w:themeTint="BF"/>
        </w:rPr>
        <w:t xml:space="preserve">les bonnes pratiques dans </w:t>
      </w:r>
      <w:r w:rsidR="00887DF2" w:rsidRPr="00F55BDF">
        <w:rPr>
          <w:color w:val="404040" w:themeColor="text1" w:themeTint="BF"/>
        </w:rPr>
        <w:t>l</w:t>
      </w:r>
      <w:r w:rsidR="00D76C59" w:rsidRPr="00F55BDF">
        <w:rPr>
          <w:color w:val="404040" w:themeColor="text1" w:themeTint="BF"/>
        </w:rPr>
        <w:t xml:space="preserve">es AP à Madagascar </w:t>
      </w:r>
      <w:r w:rsidR="00887DF2" w:rsidRPr="00F55BDF">
        <w:rPr>
          <w:color w:val="404040" w:themeColor="text1" w:themeTint="BF"/>
        </w:rPr>
        <w:t xml:space="preserve">suivi d’un </w:t>
      </w:r>
      <w:r w:rsidR="00D76C59" w:rsidRPr="00F55BDF">
        <w:rPr>
          <w:color w:val="404040" w:themeColor="text1" w:themeTint="BF"/>
        </w:rPr>
        <w:t>partage de ceux qu</w:t>
      </w:r>
      <w:r w:rsidR="00887DF2" w:rsidRPr="00F55BDF">
        <w:rPr>
          <w:color w:val="404040" w:themeColor="text1" w:themeTint="BF"/>
        </w:rPr>
        <w:t>e font</w:t>
      </w:r>
      <w:r w:rsidR="00D76C59" w:rsidRPr="00F55BDF">
        <w:rPr>
          <w:color w:val="404040" w:themeColor="text1" w:themeTint="BF"/>
        </w:rPr>
        <w:t xml:space="preserve"> </w:t>
      </w:r>
      <w:r w:rsidR="00887DF2" w:rsidRPr="00F55BDF">
        <w:rPr>
          <w:color w:val="404040" w:themeColor="text1" w:themeTint="BF"/>
        </w:rPr>
        <w:t xml:space="preserve">les communautés </w:t>
      </w:r>
      <w:r w:rsidR="00D76C59" w:rsidRPr="00F55BDF">
        <w:rPr>
          <w:color w:val="404040" w:themeColor="text1" w:themeTint="BF"/>
        </w:rPr>
        <w:t>en Afrique du Sud</w:t>
      </w:r>
      <w:r w:rsidR="00887DF2" w:rsidRPr="00F55BDF">
        <w:rPr>
          <w:color w:val="404040" w:themeColor="text1" w:themeTint="BF"/>
        </w:rPr>
        <w:t xml:space="preserve"> par le biais de la restitution faite par ceux qui sont allés là-bas. La coopération sud-sud doit ne doit pas se limiter à la visite échange mais aussi à des partages d’expériences entre les communautés gestionnaires d’AP à Madagascar ou entre équipe techniques de deux pays du sud. Cette mission n’a pas pu avoir lieu faute de temps de mise en œuvre pour 2019 et sera reportée pour 2020. </w:t>
      </w:r>
    </w:p>
    <w:p w14:paraId="77B7DEF1" w14:textId="77777777" w:rsidR="009F1CD6" w:rsidRPr="00F55BDF" w:rsidRDefault="009F1CD6" w:rsidP="00FF427E">
      <w:pPr>
        <w:spacing w:after="0"/>
        <w:jc w:val="both"/>
        <w:rPr>
          <w:color w:val="404040" w:themeColor="text1" w:themeTint="BF"/>
        </w:rPr>
      </w:pPr>
    </w:p>
    <w:p w14:paraId="7D06CA77" w14:textId="744C0F9E" w:rsidR="003D7D1E" w:rsidRPr="00F55BDF" w:rsidRDefault="003D7D1E" w:rsidP="00246439">
      <w:pPr>
        <w:pStyle w:val="ListParagraph"/>
        <w:numPr>
          <w:ilvl w:val="0"/>
          <w:numId w:val="1"/>
        </w:numPr>
        <w:rPr>
          <w:b/>
          <w:i/>
          <w:sz w:val="24"/>
          <w:lang w:val="fr-FR"/>
        </w:rPr>
      </w:pPr>
      <w:r w:rsidRPr="00F55BDF">
        <w:rPr>
          <w:b/>
          <w:i/>
          <w:sz w:val="24"/>
          <w:lang w:val="fr-FR"/>
        </w:rPr>
        <w:t>Renforcement des capacités nationales</w:t>
      </w:r>
    </w:p>
    <w:p w14:paraId="221982EA" w14:textId="5B031F09" w:rsidR="00204E92" w:rsidRPr="00F55BDF" w:rsidRDefault="003D7D1E" w:rsidP="00000074">
      <w:pPr>
        <w:spacing w:after="0"/>
        <w:rPr>
          <w:color w:val="404040" w:themeColor="text1" w:themeTint="BF"/>
        </w:rPr>
      </w:pPr>
      <w:r w:rsidRPr="00F55BDF">
        <w:rPr>
          <w:color w:val="404040" w:themeColor="text1" w:themeTint="BF"/>
        </w:rPr>
        <w:t>(Décrire les résultats du projet en termes de renforcement des capacités nationales)</w:t>
      </w:r>
    </w:p>
    <w:p w14:paraId="4C0C3638" w14:textId="5C8CBECA" w:rsidR="003D7D1E" w:rsidRPr="00F55BDF" w:rsidRDefault="00887DF2" w:rsidP="00000074">
      <w:pPr>
        <w:spacing w:after="0"/>
        <w:rPr>
          <w:color w:val="404040" w:themeColor="text1" w:themeTint="BF"/>
        </w:rPr>
      </w:pPr>
      <w:r w:rsidRPr="00F55BDF">
        <w:rPr>
          <w:color w:val="404040" w:themeColor="text1" w:themeTint="BF"/>
        </w:rPr>
        <w:t xml:space="preserve">Le projet APAA a contribué dans le renforcement des </w:t>
      </w:r>
      <w:r w:rsidR="004C2D40" w:rsidRPr="00F55BDF">
        <w:rPr>
          <w:color w:val="404040" w:themeColor="text1" w:themeTint="BF"/>
        </w:rPr>
        <w:t xml:space="preserve">capacités de l’équipe technique du MEDD </w:t>
      </w:r>
      <w:r w:rsidR="00EE7D79" w:rsidRPr="00F55BDF">
        <w:rPr>
          <w:color w:val="404040" w:themeColor="text1" w:themeTint="BF"/>
        </w:rPr>
        <w:t xml:space="preserve">et des représentants régionaux d’autres ministères </w:t>
      </w:r>
      <w:r w:rsidR="004C2D40" w:rsidRPr="00F55BDF">
        <w:rPr>
          <w:color w:val="404040" w:themeColor="text1" w:themeTint="BF"/>
        </w:rPr>
        <w:t xml:space="preserve">dans différents domaines, à savoir : </w:t>
      </w:r>
    </w:p>
    <w:p w14:paraId="660F76FA" w14:textId="278693D8" w:rsidR="00EE7D79" w:rsidRPr="00F55BDF" w:rsidRDefault="000B3C91" w:rsidP="000B3C91">
      <w:pPr>
        <w:pStyle w:val="ListParagraph"/>
        <w:numPr>
          <w:ilvl w:val="0"/>
          <w:numId w:val="2"/>
        </w:numPr>
        <w:jc w:val="both"/>
        <w:rPr>
          <w:color w:val="404040" w:themeColor="text1" w:themeTint="BF"/>
          <w:lang w:val="fr-FR"/>
        </w:rPr>
      </w:pPr>
      <w:r w:rsidRPr="00F55BDF">
        <w:rPr>
          <w:color w:val="404040" w:themeColor="text1" w:themeTint="BF"/>
          <w:lang w:val="fr-FR"/>
        </w:rPr>
        <w:t>Renforcement de capacité en Système d’Information Géographique (SIG) des équipes techniques de mise en œuvre du projet du MEDD (08 personnes)</w:t>
      </w:r>
      <w:r w:rsidR="005211AB" w:rsidRPr="00F55BDF">
        <w:rPr>
          <w:color w:val="404040" w:themeColor="text1" w:themeTint="BF"/>
          <w:lang w:val="fr-FR"/>
        </w:rPr>
        <w:t>, à savoir de la DIDDD, de la DGRNE et des représentants régionaux du ministère (DREDD : 03 personnes)</w:t>
      </w:r>
      <w:r w:rsidRPr="00F55BDF">
        <w:rPr>
          <w:color w:val="404040" w:themeColor="text1" w:themeTint="BF"/>
          <w:lang w:val="fr-FR"/>
        </w:rPr>
        <w:t xml:space="preserve">. Les techniciens sont capables d’utiliser le logiciel </w:t>
      </w:r>
      <w:proofErr w:type="spellStart"/>
      <w:r w:rsidRPr="00F55BDF">
        <w:rPr>
          <w:color w:val="404040" w:themeColor="text1" w:themeTint="BF"/>
          <w:lang w:val="fr-FR"/>
        </w:rPr>
        <w:t>Arcgis</w:t>
      </w:r>
      <w:proofErr w:type="spellEnd"/>
      <w:r w:rsidRPr="00F55BDF">
        <w:rPr>
          <w:color w:val="404040" w:themeColor="text1" w:themeTint="BF"/>
          <w:lang w:val="fr-FR"/>
        </w:rPr>
        <w:t xml:space="preserve"> pour l’analyse des données spatialisées telles que les cartes, la vectorisation et les rapports. La formation est assurée par l’Expert SIG de l’UCP. </w:t>
      </w:r>
      <w:r w:rsidRPr="00F55BDF">
        <w:rPr>
          <w:color w:val="404040" w:themeColor="text1" w:themeTint="BF"/>
          <w:lang w:val="fr-FR"/>
        </w:rPr>
        <w:lastRenderedPageBreak/>
        <w:t>Comme la formation en SIG est constituée d</w:t>
      </w:r>
      <w:r w:rsidR="00EE7D79" w:rsidRPr="00F55BDF">
        <w:rPr>
          <w:color w:val="404040" w:themeColor="text1" w:themeTint="BF"/>
          <w:lang w:val="fr-FR"/>
        </w:rPr>
        <w:t xml:space="preserve">e plusieurs </w:t>
      </w:r>
      <w:r w:rsidRPr="00F55BDF">
        <w:rPr>
          <w:color w:val="404040" w:themeColor="text1" w:themeTint="BF"/>
          <w:lang w:val="fr-FR"/>
        </w:rPr>
        <w:t>série</w:t>
      </w:r>
      <w:r w:rsidR="00EE7D79" w:rsidRPr="00F55BDF">
        <w:rPr>
          <w:color w:val="404040" w:themeColor="text1" w:themeTint="BF"/>
          <w:lang w:val="fr-FR"/>
        </w:rPr>
        <w:t>s et</w:t>
      </w:r>
      <w:r w:rsidRPr="00F55BDF">
        <w:rPr>
          <w:color w:val="404040" w:themeColor="text1" w:themeTint="BF"/>
          <w:lang w:val="fr-FR"/>
        </w:rPr>
        <w:t xml:space="preserve"> de modules, </w:t>
      </w:r>
      <w:r w:rsidR="00EE7D79" w:rsidRPr="00F55BDF">
        <w:rPr>
          <w:color w:val="404040" w:themeColor="text1" w:themeTint="BF"/>
          <w:lang w:val="fr-FR"/>
        </w:rPr>
        <w:t xml:space="preserve">l’évaluation technique après chaque série de formation a été effectuée depuis le mois d’août 2019. Cette option a été prise, à la suite de l’observation que certains participants ne s’impliquent pas à la formation. Cette mesure a permis de remplacer les personnes qui ne sont motivées que par les indemnités perçues durant la mission de formation par d’autres plus motivées et intéressées techniquement. A la fin de l’année, il a été constaté que le niveau des participants et la motivation sont au rendez-vous. Cette bonne pratique sera à appliquer pour toutes les thématiques de formation pour 2020. </w:t>
      </w:r>
    </w:p>
    <w:p w14:paraId="3B26F249" w14:textId="6DA15439" w:rsidR="004C2D40" w:rsidRPr="00F55BDF" w:rsidRDefault="005367B5" w:rsidP="005367B5">
      <w:pPr>
        <w:pStyle w:val="ListParagraph"/>
        <w:numPr>
          <w:ilvl w:val="0"/>
          <w:numId w:val="2"/>
        </w:numPr>
        <w:spacing w:after="0"/>
        <w:jc w:val="both"/>
        <w:rPr>
          <w:color w:val="404040" w:themeColor="text1" w:themeTint="BF"/>
          <w:lang w:val="fr-FR"/>
        </w:rPr>
      </w:pPr>
      <w:r w:rsidRPr="00F55BDF">
        <w:rPr>
          <w:color w:val="404040" w:themeColor="text1" w:themeTint="BF"/>
          <w:lang w:val="fr-FR"/>
        </w:rPr>
        <w:t>Renforcement de capacités des membres de l’Equipe Technique Restreinte (ETR) du projet dont la majeure partie est de l’équipe technique de la DIDDD</w:t>
      </w:r>
      <w:r w:rsidR="00570643" w:rsidRPr="00F55BDF">
        <w:rPr>
          <w:color w:val="404040" w:themeColor="text1" w:themeTint="BF"/>
          <w:lang w:val="fr-FR"/>
        </w:rPr>
        <w:t>, de la DGRNE</w:t>
      </w:r>
      <w:r w:rsidRPr="00F55BDF">
        <w:rPr>
          <w:color w:val="404040" w:themeColor="text1" w:themeTint="BF"/>
          <w:lang w:val="fr-FR"/>
        </w:rPr>
        <w:t xml:space="preserve"> du MEDD et des représentants régionaux des Ministères (MAEP, MAHTP, MMRS, DREDD) dans l’</w:t>
      </w:r>
      <w:proofErr w:type="spellStart"/>
      <w:r w:rsidRPr="00F55BDF">
        <w:rPr>
          <w:color w:val="404040" w:themeColor="text1" w:themeTint="BF"/>
          <w:lang w:val="fr-FR"/>
        </w:rPr>
        <w:t>Atsimo</w:t>
      </w:r>
      <w:proofErr w:type="spellEnd"/>
      <w:r w:rsidRPr="00F55BDF">
        <w:rPr>
          <w:color w:val="404040" w:themeColor="text1" w:themeTint="BF"/>
          <w:lang w:val="fr-FR"/>
        </w:rPr>
        <w:t xml:space="preserve"> </w:t>
      </w:r>
      <w:proofErr w:type="spellStart"/>
      <w:r w:rsidRPr="00F55BDF">
        <w:rPr>
          <w:color w:val="404040" w:themeColor="text1" w:themeTint="BF"/>
          <w:lang w:val="fr-FR"/>
        </w:rPr>
        <w:t>Andrefana</w:t>
      </w:r>
      <w:proofErr w:type="spellEnd"/>
      <w:r w:rsidRPr="00F55BDF">
        <w:rPr>
          <w:color w:val="404040" w:themeColor="text1" w:themeTint="BF"/>
          <w:lang w:val="fr-FR"/>
        </w:rPr>
        <w:t>. Le nombre des bénéficiaires est de 11 personnes. Ces techniciens sont formés afin de pouvoir concevoir l’OPTBD avec les consultants et surtout de pouvoir assurer le suivi</w:t>
      </w:r>
      <w:r w:rsidR="00570643" w:rsidRPr="00F55BDF">
        <w:rPr>
          <w:color w:val="404040" w:themeColor="text1" w:themeTint="BF"/>
          <w:lang w:val="fr-FR"/>
        </w:rPr>
        <w:t>, le contrôle</w:t>
      </w:r>
      <w:r w:rsidRPr="00F55BDF">
        <w:rPr>
          <w:color w:val="404040" w:themeColor="text1" w:themeTint="BF"/>
          <w:lang w:val="fr-FR"/>
        </w:rPr>
        <w:t xml:space="preserve"> et l’opérationnalisation de cet outil à long terme. Les modules de formation concernent : (i) </w:t>
      </w:r>
      <w:r w:rsidR="00570643" w:rsidRPr="00F55BDF">
        <w:rPr>
          <w:color w:val="404040" w:themeColor="text1" w:themeTint="BF"/>
          <w:lang w:val="fr-FR"/>
        </w:rPr>
        <w:t xml:space="preserve">introduction aux techniques de </w:t>
      </w:r>
      <w:proofErr w:type="spellStart"/>
      <w:r w:rsidRPr="00F55BDF">
        <w:rPr>
          <w:color w:val="404040" w:themeColor="text1" w:themeTint="BF"/>
          <w:lang w:val="fr-FR"/>
        </w:rPr>
        <w:t>webmapping</w:t>
      </w:r>
      <w:proofErr w:type="spellEnd"/>
      <w:r w:rsidRPr="00F55BDF">
        <w:rPr>
          <w:color w:val="404040" w:themeColor="text1" w:themeTint="BF"/>
          <w:lang w:val="fr-FR"/>
        </w:rPr>
        <w:t xml:space="preserve">, (ii) </w:t>
      </w:r>
      <w:r w:rsidR="00570643" w:rsidRPr="00F55BDF">
        <w:rPr>
          <w:color w:val="404040" w:themeColor="text1" w:themeTint="BF"/>
          <w:lang w:val="fr-FR"/>
        </w:rPr>
        <w:t>introduction dans le développement web,</w:t>
      </w:r>
      <w:r w:rsidRPr="00F55BDF">
        <w:rPr>
          <w:color w:val="404040" w:themeColor="text1" w:themeTint="BF"/>
          <w:lang w:val="fr-FR"/>
        </w:rPr>
        <w:t xml:space="preserve"> (iii) </w:t>
      </w:r>
      <w:r w:rsidR="00570643" w:rsidRPr="00F55BDF">
        <w:rPr>
          <w:color w:val="404040" w:themeColor="text1" w:themeTint="BF"/>
          <w:lang w:val="fr-FR"/>
        </w:rPr>
        <w:t xml:space="preserve">contrôle qualité des outils informatiques (iso), (iv) concept d’approche paysagère et (v) analyse des lois et textes environnementaux par un juriste. </w:t>
      </w:r>
    </w:p>
    <w:p w14:paraId="086EF537" w14:textId="64B5D950" w:rsidR="005211AB" w:rsidRPr="00F55BDF" w:rsidRDefault="00570643" w:rsidP="005211AB">
      <w:pPr>
        <w:pStyle w:val="ListParagraph"/>
        <w:numPr>
          <w:ilvl w:val="0"/>
          <w:numId w:val="2"/>
        </w:numPr>
        <w:spacing w:after="0"/>
        <w:jc w:val="both"/>
        <w:rPr>
          <w:color w:val="404040" w:themeColor="text1" w:themeTint="BF"/>
          <w:lang w:val="fr-FR"/>
        </w:rPr>
      </w:pPr>
      <w:r w:rsidRPr="00F55BDF">
        <w:rPr>
          <w:color w:val="404040" w:themeColor="text1" w:themeTint="BF"/>
          <w:lang w:val="fr-FR"/>
        </w:rPr>
        <w:t xml:space="preserve">Renforcement de capacités des membres de l’équipe technique de la DIDDD, de la DGRNE du MEDD </w:t>
      </w:r>
      <w:r w:rsidR="005211AB" w:rsidRPr="00F55BDF">
        <w:rPr>
          <w:color w:val="404040" w:themeColor="text1" w:themeTint="BF"/>
          <w:lang w:val="fr-FR"/>
        </w:rPr>
        <w:t xml:space="preserve">(08 personnes) </w:t>
      </w:r>
      <w:r w:rsidRPr="00F55BDF">
        <w:rPr>
          <w:color w:val="404040" w:themeColor="text1" w:themeTint="BF"/>
          <w:lang w:val="fr-FR"/>
        </w:rPr>
        <w:t xml:space="preserve">et de la DREDD </w:t>
      </w:r>
      <w:proofErr w:type="spellStart"/>
      <w:r w:rsidRPr="00F55BDF">
        <w:rPr>
          <w:color w:val="404040" w:themeColor="text1" w:themeTint="BF"/>
          <w:lang w:val="fr-FR"/>
        </w:rPr>
        <w:t>Atsimo</w:t>
      </w:r>
      <w:proofErr w:type="spellEnd"/>
      <w:r w:rsidRPr="00F55BDF">
        <w:rPr>
          <w:color w:val="404040" w:themeColor="text1" w:themeTint="BF"/>
          <w:lang w:val="fr-FR"/>
        </w:rPr>
        <w:t xml:space="preserve"> </w:t>
      </w:r>
      <w:proofErr w:type="spellStart"/>
      <w:r w:rsidRPr="00F55BDF">
        <w:rPr>
          <w:color w:val="404040" w:themeColor="text1" w:themeTint="BF"/>
          <w:lang w:val="fr-FR"/>
        </w:rPr>
        <w:t>Andrefana</w:t>
      </w:r>
      <w:proofErr w:type="spellEnd"/>
      <w:r w:rsidRPr="00F55BDF">
        <w:rPr>
          <w:color w:val="404040" w:themeColor="text1" w:themeTint="BF"/>
          <w:lang w:val="fr-FR"/>
        </w:rPr>
        <w:t xml:space="preserve"> </w:t>
      </w:r>
      <w:r w:rsidR="005211AB" w:rsidRPr="00F55BDF">
        <w:rPr>
          <w:color w:val="404040" w:themeColor="text1" w:themeTint="BF"/>
          <w:lang w:val="fr-FR"/>
        </w:rPr>
        <w:t>(05 personnes), CER (03 personnes) et les partenaires d’exécution (</w:t>
      </w:r>
      <w:proofErr w:type="spellStart"/>
      <w:r w:rsidR="005211AB" w:rsidRPr="00F55BDF">
        <w:rPr>
          <w:color w:val="404040" w:themeColor="text1" w:themeTint="BF"/>
          <w:lang w:val="fr-FR"/>
        </w:rPr>
        <w:t>Tany</w:t>
      </w:r>
      <w:proofErr w:type="spellEnd"/>
      <w:r w:rsidR="005211AB" w:rsidRPr="00F55BDF">
        <w:rPr>
          <w:color w:val="404040" w:themeColor="text1" w:themeTint="BF"/>
          <w:lang w:val="fr-FR"/>
        </w:rPr>
        <w:t xml:space="preserve"> </w:t>
      </w:r>
      <w:proofErr w:type="spellStart"/>
      <w:r w:rsidR="005211AB" w:rsidRPr="00F55BDF">
        <w:rPr>
          <w:color w:val="404040" w:themeColor="text1" w:themeTint="BF"/>
          <w:lang w:val="fr-FR"/>
        </w:rPr>
        <w:t>Meva</w:t>
      </w:r>
      <w:proofErr w:type="spellEnd"/>
      <w:r w:rsidR="005211AB" w:rsidRPr="00F55BDF">
        <w:rPr>
          <w:color w:val="404040" w:themeColor="text1" w:themeTint="BF"/>
          <w:lang w:val="fr-FR"/>
        </w:rPr>
        <w:t xml:space="preserve"> et SAGE, 03 personnes) sous forme de </w:t>
      </w:r>
      <w:r w:rsidRPr="00F55BDF">
        <w:rPr>
          <w:color w:val="404040" w:themeColor="text1" w:themeTint="BF"/>
          <w:lang w:val="fr-FR"/>
        </w:rPr>
        <w:t>formation de base sur les techniques de sensibilisation et de communication, de plaidoyer et de lobbying</w:t>
      </w:r>
      <w:r w:rsidR="005211AB" w:rsidRPr="00F55BDF">
        <w:rPr>
          <w:color w:val="404040" w:themeColor="text1" w:themeTint="BF"/>
          <w:lang w:val="fr-FR"/>
        </w:rPr>
        <w:t>. Le formateur est l’Expert en communication et renforcement des capacités de l’UCP. A l’issue des séries de formation, les participants connaissent les bases de la communication, la sensibilisation, le lobbying et le plaidoyer. Ils sont prêts et s'engagent à participer à la communication du projet.</w:t>
      </w:r>
    </w:p>
    <w:p w14:paraId="2F5ED111" w14:textId="77777777" w:rsidR="00EE7D79" w:rsidRPr="00F55BDF" w:rsidRDefault="00EE7D79" w:rsidP="00EE7D79">
      <w:pPr>
        <w:pStyle w:val="ListParagraph"/>
        <w:spacing w:after="0"/>
        <w:jc w:val="both"/>
        <w:rPr>
          <w:color w:val="404040" w:themeColor="text1" w:themeTint="BF"/>
          <w:lang w:val="fr-FR"/>
        </w:rPr>
      </w:pPr>
    </w:p>
    <w:p w14:paraId="34645B7D" w14:textId="25D3CFD3" w:rsidR="004009C6" w:rsidRPr="00F55BDF" w:rsidRDefault="004009C6" w:rsidP="00246439">
      <w:pPr>
        <w:pStyle w:val="ListParagraph"/>
        <w:numPr>
          <w:ilvl w:val="0"/>
          <w:numId w:val="1"/>
        </w:numPr>
        <w:rPr>
          <w:b/>
          <w:i/>
          <w:sz w:val="24"/>
          <w:lang w:val="fr-FR"/>
        </w:rPr>
      </w:pPr>
      <w:r w:rsidRPr="00F55BDF">
        <w:rPr>
          <w:b/>
          <w:i/>
          <w:sz w:val="24"/>
          <w:lang w:val="fr-FR"/>
        </w:rPr>
        <w:t>Durabilité des résultats</w:t>
      </w:r>
    </w:p>
    <w:p w14:paraId="0B88E46E" w14:textId="028B7E57" w:rsidR="003D7D1E" w:rsidRPr="00F55BDF" w:rsidRDefault="004009C6" w:rsidP="00000074">
      <w:pPr>
        <w:spacing w:after="0"/>
        <w:rPr>
          <w:color w:val="404040" w:themeColor="text1" w:themeTint="BF"/>
        </w:rPr>
      </w:pPr>
      <w:r w:rsidRPr="00F55BDF">
        <w:rPr>
          <w:color w:val="404040" w:themeColor="text1" w:themeTint="BF"/>
        </w:rPr>
        <w:t>(Décrire dans quelle mesure les résultats obtenus sont-ils pérennes ou peuvent-ils être pérennisés</w:t>
      </w:r>
      <w:r w:rsidR="00665410" w:rsidRPr="00F55BDF">
        <w:rPr>
          <w:color w:val="404040" w:themeColor="text1" w:themeTint="BF"/>
        </w:rPr>
        <w:t xml:space="preserve">, la stratégie de sortie mise en </w:t>
      </w:r>
      <w:r w:rsidR="00E1460C" w:rsidRPr="00F55BDF">
        <w:rPr>
          <w:color w:val="404040" w:themeColor="text1" w:themeTint="BF"/>
        </w:rPr>
        <w:t>œuvre</w:t>
      </w:r>
      <w:r w:rsidRPr="00F55BDF">
        <w:rPr>
          <w:color w:val="404040" w:themeColor="text1" w:themeTint="BF"/>
        </w:rPr>
        <w:t>)</w:t>
      </w:r>
    </w:p>
    <w:p w14:paraId="1DAFFA86" w14:textId="395C1055" w:rsidR="003D7D1E" w:rsidRPr="00F55BDF" w:rsidRDefault="009D4EAA" w:rsidP="00000074">
      <w:pPr>
        <w:spacing w:after="0"/>
        <w:rPr>
          <w:color w:val="404040" w:themeColor="text1" w:themeTint="BF"/>
        </w:rPr>
      </w:pPr>
      <w:r w:rsidRPr="00F55BDF">
        <w:rPr>
          <w:color w:val="404040" w:themeColor="text1" w:themeTint="BF"/>
        </w:rPr>
        <w:t>Les résultats obtenus par le projet sont pérennes dans la mesure où :</w:t>
      </w:r>
    </w:p>
    <w:p w14:paraId="1BEB7089" w14:textId="5BDC9874" w:rsidR="009D4EAA" w:rsidRPr="00F55BDF" w:rsidRDefault="009D4EAA" w:rsidP="00F51AC1">
      <w:pPr>
        <w:pStyle w:val="ListParagraph"/>
        <w:numPr>
          <w:ilvl w:val="0"/>
          <w:numId w:val="2"/>
        </w:numPr>
        <w:spacing w:after="0"/>
        <w:jc w:val="both"/>
        <w:rPr>
          <w:color w:val="404040" w:themeColor="text1" w:themeTint="BF"/>
          <w:lang w:val="fr-FR"/>
        </w:rPr>
      </w:pPr>
      <w:r w:rsidRPr="00F55BDF">
        <w:rPr>
          <w:color w:val="404040" w:themeColor="text1" w:themeTint="BF"/>
          <w:lang w:val="fr-FR"/>
        </w:rPr>
        <w:t xml:space="preserve">La gestion adaptative menée pour rattraper le retard enregistré par le projet au début du second semestre vise à (i) impliquer et à motiver toutes les parties prenantes avec des approches plus inclusive et responsable ; exemple : lors du processus de création et de l’opérationnalisation de l’OPTBD ou dès 2019, l’administration future de cet outil est bien décidée suite à des séries de consultation et de concertation avec les parties prenantes (Préfecture, Région, CER, CTD, STD, </w:t>
      </w:r>
      <w:r w:rsidR="004F2316" w:rsidRPr="00F55BDF">
        <w:rPr>
          <w:color w:val="404040" w:themeColor="text1" w:themeTint="BF"/>
          <w:lang w:val="fr-FR"/>
        </w:rPr>
        <w:t xml:space="preserve">secteurs privés, ONG, …) même si cela avait pris beaucoup de temps </w:t>
      </w:r>
      <w:r w:rsidRPr="00F55BDF">
        <w:rPr>
          <w:color w:val="404040" w:themeColor="text1" w:themeTint="BF"/>
          <w:lang w:val="fr-FR"/>
        </w:rPr>
        <w:t xml:space="preserve">; (ii) réaffecter du budget dans d’autres lignes d’activités qui en ont le plus besoin et produisent des impacts et effets de résultats. Exemples : l’étude de la mise en place du concept d’écovillages dans les zones des 07 APC ; l’appui à l’effort de reboisement régional avec toutes les parties prenantes y compris les communautés locales par le système cash for </w:t>
      </w:r>
      <w:proofErr w:type="spellStart"/>
      <w:r w:rsidRPr="00F55BDF">
        <w:rPr>
          <w:color w:val="404040" w:themeColor="text1" w:themeTint="BF"/>
          <w:lang w:val="fr-FR"/>
        </w:rPr>
        <w:t>work</w:t>
      </w:r>
      <w:proofErr w:type="spellEnd"/>
      <w:r w:rsidRPr="00F55BDF">
        <w:rPr>
          <w:color w:val="404040" w:themeColor="text1" w:themeTint="BF"/>
          <w:lang w:val="fr-FR"/>
        </w:rPr>
        <w:t xml:space="preserve">. </w:t>
      </w:r>
      <w:r w:rsidR="004F2316" w:rsidRPr="00F55BDF">
        <w:rPr>
          <w:color w:val="404040" w:themeColor="text1" w:themeTint="BF"/>
          <w:lang w:val="fr-FR"/>
        </w:rPr>
        <w:t xml:space="preserve">(iii) uniformiser l’approche d’intervention de </w:t>
      </w:r>
      <w:proofErr w:type="spellStart"/>
      <w:r w:rsidR="004F2316" w:rsidRPr="00F55BDF">
        <w:rPr>
          <w:color w:val="404040" w:themeColor="text1" w:themeTint="BF"/>
          <w:lang w:val="fr-FR"/>
        </w:rPr>
        <w:t>Tany</w:t>
      </w:r>
      <w:proofErr w:type="spellEnd"/>
      <w:r w:rsidR="004F2316" w:rsidRPr="00F55BDF">
        <w:rPr>
          <w:color w:val="404040" w:themeColor="text1" w:themeTint="BF"/>
          <w:lang w:val="fr-FR"/>
        </w:rPr>
        <w:t xml:space="preserve"> </w:t>
      </w:r>
      <w:proofErr w:type="spellStart"/>
      <w:r w:rsidR="004F2316" w:rsidRPr="00F55BDF">
        <w:rPr>
          <w:color w:val="404040" w:themeColor="text1" w:themeTint="BF"/>
          <w:lang w:val="fr-FR"/>
        </w:rPr>
        <w:t>Meva</w:t>
      </w:r>
      <w:proofErr w:type="spellEnd"/>
      <w:r w:rsidR="004F2316" w:rsidRPr="00F55BDF">
        <w:rPr>
          <w:color w:val="404040" w:themeColor="text1" w:themeTint="BF"/>
          <w:lang w:val="fr-FR"/>
        </w:rPr>
        <w:t xml:space="preserve"> et de SAGE dans le processus de création des 07 APC et dans l’amélioration des conditions de vie des populations locales. Cela a permis d’impliquer plus de parties prenantes avec l’adhésion des populations locales </w:t>
      </w:r>
      <w:r w:rsidR="00423F2B" w:rsidRPr="00F55BDF">
        <w:rPr>
          <w:color w:val="404040" w:themeColor="text1" w:themeTint="BF"/>
          <w:lang w:val="fr-FR"/>
        </w:rPr>
        <w:t>et surtout</w:t>
      </w:r>
      <w:r w:rsidR="004F2316" w:rsidRPr="00F55BDF">
        <w:rPr>
          <w:color w:val="404040" w:themeColor="text1" w:themeTint="BF"/>
          <w:lang w:val="fr-FR"/>
        </w:rPr>
        <w:t xml:space="preserve"> d</w:t>
      </w:r>
      <w:r w:rsidR="00423F2B" w:rsidRPr="00F55BDF">
        <w:rPr>
          <w:color w:val="404040" w:themeColor="text1" w:themeTint="BF"/>
          <w:lang w:val="fr-FR"/>
        </w:rPr>
        <w:t xml:space="preserve">’avancer avec des actions axées sur les résultats et d’être plus focus. Toutes ses actions ont permis d’avoir des résultats pérennes durant le processus de mise en œuvre du projet et même au-delà. </w:t>
      </w:r>
    </w:p>
    <w:p w14:paraId="58D93A03" w14:textId="6185FF79" w:rsidR="00EE7D79" w:rsidRPr="00F55BDF" w:rsidRDefault="00423F2B" w:rsidP="00F51AC1">
      <w:pPr>
        <w:pStyle w:val="ListParagraph"/>
        <w:numPr>
          <w:ilvl w:val="0"/>
          <w:numId w:val="2"/>
        </w:numPr>
        <w:spacing w:after="0"/>
        <w:jc w:val="both"/>
        <w:rPr>
          <w:color w:val="404040" w:themeColor="text1" w:themeTint="BF"/>
          <w:lang w:val="fr-FR"/>
        </w:rPr>
      </w:pPr>
      <w:r w:rsidRPr="00F55BDF">
        <w:rPr>
          <w:color w:val="404040" w:themeColor="text1" w:themeTint="BF"/>
          <w:lang w:val="fr-FR"/>
        </w:rPr>
        <w:lastRenderedPageBreak/>
        <w:t xml:space="preserve">Les résultats des actions menées, surtout en cette période à mi-chemin de la fin du projet doivent prévoir la mise en œuvre de la stratégie de sortie. Les résultats de l’évaluation à mi-parcours du projet ont déjà mentionné cette mise en œuvre mais recommandent aussi l’implication des parties prenantes au niveau nationale si le MEDD décide de mettre à l’échelle interrégionale ou nationale l’OPTBD. Au niveau de la Région </w:t>
      </w:r>
      <w:proofErr w:type="spellStart"/>
      <w:r w:rsidRPr="00F55BDF">
        <w:rPr>
          <w:color w:val="404040" w:themeColor="text1" w:themeTint="BF"/>
          <w:lang w:val="fr-FR"/>
        </w:rPr>
        <w:t>Atsimo</w:t>
      </w:r>
      <w:proofErr w:type="spellEnd"/>
      <w:r w:rsidRPr="00F55BDF">
        <w:rPr>
          <w:color w:val="404040" w:themeColor="text1" w:themeTint="BF"/>
          <w:lang w:val="fr-FR"/>
        </w:rPr>
        <w:t xml:space="preserve"> </w:t>
      </w:r>
      <w:proofErr w:type="spellStart"/>
      <w:r w:rsidRPr="00F55BDF">
        <w:rPr>
          <w:color w:val="404040" w:themeColor="text1" w:themeTint="BF"/>
          <w:lang w:val="fr-FR"/>
        </w:rPr>
        <w:t>Andrefana</w:t>
      </w:r>
      <w:proofErr w:type="spellEnd"/>
      <w:r w:rsidRPr="00F55BDF">
        <w:rPr>
          <w:color w:val="404040" w:themeColor="text1" w:themeTint="BF"/>
          <w:lang w:val="fr-FR"/>
        </w:rPr>
        <w:t xml:space="preserve">, toutes les parties prenantes sont impliquées et formées, ce qui n’est pas le cas pour les autres secteurs et Ministères au niveau national. </w:t>
      </w:r>
    </w:p>
    <w:p w14:paraId="58AFACCD" w14:textId="77777777" w:rsidR="00FB5790" w:rsidRPr="00F55BDF" w:rsidRDefault="00FB5790" w:rsidP="00000074">
      <w:pPr>
        <w:spacing w:after="0"/>
        <w:rPr>
          <w:color w:val="404040" w:themeColor="text1" w:themeTint="BF"/>
        </w:rPr>
      </w:pPr>
    </w:p>
    <w:p w14:paraId="346C6457" w14:textId="3C7A90DE" w:rsidR="003D7D1E" w:rsidRPr="00F55BDF" w:rsidRDefault="003D7D1E" w:rsidP="00246439">
      <w:pPr>
        <w:pStyle w:val="ListParagraph"/>
        <w:numPr>
          <w:ilvl w:val="0"/>
          <w:numId w:val="1"/>
        </w:numPr>
        <w:rPr>
          <w:b/>
          <w:i/>
          <w:sz w:val="24"/>
          <w:lang w:val="fr-FR"/>
        </w:rPr>
      </w:pPr>
      <w:r w:rsidRPr="00F55BDF">
        <w:rPr>
          <w:b/>
          <w:i/>
          <w:sz w:val="24"/>
          <w:lang w:val="fr-FR"/>
        </w:rPr>
        <w:t>Les principaux problèmes rencontrés et les solutions trouvées </w:t>
      </w:r>
    </w:p>
    <w:p w14:paraId="3D521EB8" w14:textId="49CBD807" w:rsidR="003D7D1E" w:rsidRPr="00F55BDF" w:rsidRDefault="005D5B2E" w:rsidP="00F51AC1">
      <w:pPr>
        <w:jc w:val="both"/>
        <w:rPr>
          <w:bCs/>
          <w:iCs/>
        </w:rPr>
      </w:pPr>
      <w:r w:rsidRPr="00F55BDF">
        <w:rPr>
          <w:bCs/>
          <w:iCs/>
        </w:rPr>
        <w:t>Les principaux problèmes rencontrés et les solutions trouvées :</w:t>
      </w:r>
    </w:p>
    <w:p w14:paraId="2FD5B4B1" w14:textId="00DFAA25" w:rsidR="00F51AC1" w:rsidRPr="00F55BDF" w:rsidRDefault="00431568" w:rsidP="00F51AC1">
      <w:pPr>
        <w:numPr>
          <w:ilvl w:val="0"/>
          <w:numId w:val="15"/>
        </w:numPr>
        <w:kinsoku w:val="0"/>
        <w:overflowPunct w:val="0"/>
        <w:spacing w:after="0" w:line="240" w:lineRule="auto"/>
        <w:ind w:left="357" w:hanging="357"/>
        <w:contextualSpacing/>
        <w:jc w:val="both"/>
        <w:textAlignment w:val="baseline"/>
        <w:rPr>
          <w:rFonts w:ascii="Times New Roman" w:eastAsia="Times New Roman" w:hAnsi="Times New Roman" w:cs="Times New Roman"/>
          <w:i/>
          <w:iCs/>
        </w:rPr>
      </w:pPr>
      <w:r w:rsidRPr="00F55BDF">
        <w:rPr>
          <w:rFonts w:eastAsia="MS PGothic" w:hAnsi="Calibri"/>
          <w:color w:val="000000" w:themeColor="text1"/>
          <w:kern w:val="24"/>
        </w:rPr>
        <w:t xml:space="preserve">Les postes vacants : 6 mois pour le Coordonnateur et 5 mois pour l’AAF du projet ont des impacts sur le bon fonctionnement du projet : </w:t>
      </w:r>
      <w:r w:rsidRPr="00F55BDF">
        <w:rPr>
          <w:rFonts w:eastAsia="MS PGothic" w:hAnsi="Calibri"/>
          <w:i/>
          <w:iCs/>
          <w:color w:val="000000" w:themeColor="text1"/>
          <w:kern w:val="24"/>
        </w:rPr>
        <w:t>Solution :</w:t>
      </w:r>
      <w:r w:rsidRPr="00F55BDF">
        <w:rPr>
          <w:rFonts w:eastAsia="MS PGothic" w:hAnsi="Calibri"/>
          <w:color w:val="000000" w:themeColor="text1"/>
          <w:kern w:val="24"/>
        </w:rPr>
        <w:t xml:space="preserve"> </w:t>
      </w:r>
      <w:r w:rsidRPr="00F55BDF">
        <w:rPr>
          <w:rFonts w:eastAsia="MS PGothic" w:hAnsi="Calibri"/>
          <w:i/>
          <w:iCs/>
          <w:color w:val="000000" w:themeColor="text1"/>
          <w:kern w:val="24"/>
        </w:rPr>
        <w:t>appui des DNP et DNPS ainsi que de l’équipe du PNUD à l’équipe technique UCP</w:t>
      </w:r>
      <w:r w:rsidR="00FD540F" w:rsidRPr="00F55BDF">
        <w:rPr>
          <w:rFonts w:eastAsia="MS PGothic" w:hAnsi="Calibri"/>
          <w:i/>
          <w:iCs/>
          <w:color w:val="000000" w:themeColor="text1"/>
          <w:kern w:val="24"/>
        </w:rPr>
        <w:t>. Recrutement du Coordonnateur et de l’AAF.</w:t>
      </w:r>
    </w:p>
    <w:p w14:paraId="1D18D723" w14:textId="52FE2076" w:rsidR="00F51AC1" w:rsidRPr="00F51AC1" w:rsidRDefault="00431568" w:rsidP="00F51AC1">
      <w:pPr>
        <w:numPr>
          <w:ilvl w:val="0"/>
          <w:numId w:val="15"/>
        </w:numPr>
        <w:kinsoku w:val="0"/>
        <w:overflowPunct w:val="0"/>
        <w:spacing w:after="0" w:line="240" w:lineRule="auto"/>
        <w:ind w:left="357" w:hanging="357"/>
        <w:contextualSpacing/>
        <w:jc w:val="both"/>
        <w:textAlignment w:val="baseline"/>
        <w:rPr>
          <w:rFonts w:ascii="Times New Roman" w:eastAsia="Times New Roman" w:hAnsi="Times New Roman" w:cs="Times New Roman"/>
          <w:i/>
          <w:iCs/>
        </w:rPr>
      </w:pPr>
      <w:r w:rsidRPr="00F55BDF">
        <w:rPr>
          <w:rFonts w:eastAsia="MS PGothic" w:hAnsi="Calibri"/>
          <w:color w:val="000000" w:themeColor="text1"/>
          <w:kern w:val="24"/>
        </w:rPr>
        <w:t xml:space="preserve">Lenteur du circuit de validation / approbation traitement des dossiers : </w:t>
      </w:r>
      <w:r w:rsidRPr="00F55BDF">
        <w:rPr>
          <w:rFonts w:eastAsia="MS PGothic" w:hAnsi="Calibri"/>
          <w:i/>
          <w:iCs/>
          <w:color w:val="000000" w:themeColor="text1"/>
          <w:kern w:val="24"/>
        </w:rPr>
        <w:t xml:space="preserve">Solution : suivi des dossiers et collaboration étroite avec l’UPM à </w:t>
      </w:r>
      <w:proofErr w:type="spellStart"/>
      <w:r w:rsidRPr="00F55BDF">
        <w:rPr>
          <w:rFonts w:eastAsia="MS PGothic" w:hAnsi="Calibri"/>
          <w:i/>
          <w:iCs/>
          <w:color w:val="000000" w:themeColor="text1"/>
          <w:kern w:val="24"/>
        </w:rPr>
        <w:t>Antananrivo</w:t>
      </w:r>
      <w:proofErr w:type="spellEnd"/>
      <w:r w:rsidRPr="00F55BDF">
        <w:rPr>
          <w:rFonts w:eastAsia="MS PGothic" w:hAnsi="Calibri"/>
          <w:i/>
          <w:iCs/>
          <w:color w:val="000000" w:themeColor="text1"/>
          <w:kern w:val="24"/>
        </w:rPr>
        <w:t>.</w:t>
      </w:r>
    </w:p>
    <w:p w14:paraId="3481AD70" w14:textId="238285D8" w:rsidR="00F51AC1" w:rsidRPr="00F51AC1" w:rsidRDefault="00F51AC1" w:rsidP="00F51AC1">
      <w:pPr>
        <w:numPr>
          <w:ilvl w:val="0"/>
          <w:numId w:val="15"/>
        </w:numPr>
        <w:kinsoku w:val="0"/>
        <w:overflowPunct w:val="0"/>
        <w:spacing w:after="0" w:line="240" w:lineRule="auto"/>
        <w:ind w:left="357" w:hanging="357"/>
        <w:contextualSpacing/>
        <w:jc w:val="both"/>
        <w:textAlignment w:val="baseline"/>
        <w:rPr>
          <w:rFonts w:ascii="Times New Roman" w:eastAsia="Times New Roman" w:hAnsi="Times New Roman" w:cs="Times New Roman"/>
        </w:rPr>
      </w:pPr>
      <w:r w:rsidRPr="00F51AC1">
        <w:rPr>
          <w:rFonts w:eastAsia="MS PGothic" w:hAnsi="Calibri"/>
          <w:color w:val="000000"/>
          <w:kern w:val="24"/>
        </w:rPr>
        <w:t>L’approche à adopter dans le processus de délimitation et de zonage des APC : la population locale raisonne en « </w:t>
      </w:r>
      <w:proofErr w:type="spellStart"/>
      <w:r w:rsidRPr="00F51AC1">
        <w:rPr>
          <w:rFonts w:eastAsia="MS PGothic" w:hAnsi="Calibri"/>
          <w:color w:val="000000"/>
          <w:kern w:val="24"/>
        </w:rPr>
        <w:t>Efitany</w:t>
      </w:r>
      <w:proofErr w:type="spellEnd"/>
      <w:r w:rsidRPr="00F51AC1">
        <w:rPr>
          <w:rFonts w:eastAsia="MS PGothic" w:hAnsi="Calibri"/>
          <w:color w:val="000000"/>
          <w:kern w:val="24"/>
        </w:rPr>
        <w:t> », limite naturelle des forêts entre deux communautés voisines. Or, on raisonne avec les limites administratives : 1 APC pour 5 Fokontany</w:t>
      </w:r>
      <w:r w:rsidRPr="00F55BDF">
        <w:rPr>
          <w:rFonts w:eastAsia="MS PGothic" w:hAnsi="Calibri"/>
          <w:color w:val="000000"/>
          <w:kern w:val="24"/>
        </w:rPr>
        <w:t xml:space="preserve"> : </w:t>
      </w:r>
      <w:r w:rsidRPr="00F55BDF">
        <w:rPr>
          <w:rFonts w:eastAsia="MS PGothic" w:hAnsi="Calibri"/>
          <w:i/>
          <w:iCs/>
          <w:color w:val="000000"/>
          <w:kern w:val="24"/>
        </w:rPr>
        <w:t>Solutions :</w:t>
      </w:r>
      <w:r w:rsidRPr="00F55BDF">
        <w:rPr>
          <w:rFonts w:eastAsia="MS PGothic" w:hAnsi="Calibri"/>
          <w:color w:val="000000"/>
          <w:kern w:val="24"/>
        </w:rPr>
        <w:t xml:space="preserve"> </w:t>
      </w:r>
      <w:r w:rsidR="00431568" w:rsidRPr="00F55BDF">
        <w:rPr>
          <w:rFonts w:eastAsia="MS PGothic" w:hAnsi="Calibri"/>
          <w:i/>
          <w:iCs/>
          <w:color w:val="000000"/>
          <w:kern w:val="24"/>
        </w:rPr>
        <w:t>recherche de compromis et implication de toutes les parties prenantes (</w:t>
      </w:r>
      <w:proofErr w:type="spellStart"/>
      <w:r w:rsidR="00431568" w:rsidRPr="00F55BDF">
        <w:rPr>
          <w:rFonts w:eastAsia="MS PGothic" w:hAnsi="Calibri"/>
          <w:i/>
          <w:iCs/>
          <w:color w:val="000000"/>
          <w:kern w:val="24"/>
        </w:rPr>
        <w:t>Olobe</w:t>
      </w:r>
      <w:proofErr w:type="spellEnd"/>
      <w:r w:rsidR="00431568" w:rsidRPr="00F55BDF">
        <w:rPr>
          <w:rFonts w:eastAsia="MS PGothic" w:hAnsi="Calibri"/>
          <w:i/>
          <w:iCs/>
          <w:color w:val="000000"/>
          <w:kern w:val="24"/>
        </w:rPr>
        <w:t>, CTD, STD) tout en respectant les lois existantes (Code des Aires Protégées/COAP, Décret de création définitive des AP et Parcs nationaux voisins.</w:t>
      </w:r>
    </w:p>
    <w:p w14:paraId="6DE771EF" w14:textId="3CAA5B20" w:rsidR="00F51AC1" w:rsidRPr="00F51AC1" w:rsidRDefault="00F51AC1" w:rsidP="00F51AC1">
      <w:pPr>
        <w:numPr>
          <w:ilvl w:val="0"/>
          <w:numId w:val="15"/>
        </w:numPr>
        <w:kinsoku w:val="0"/>
        <w:overflowPunct w:val="0"/>
        <w:spacing w:after="0" w:line="240" w:lineRule="auto"/>
        <w:ind w:left="357" w:hanging="357"/>
        <w:contextualSpacing/>
        <w:jc w:val="both"/>
        <w:textAlignment w:val="baseline"/>
        <w:rPr>
          <w:rFonts w:ascii="Times New Roman" w:eastAsia="Times New Roman" w:hAnsi="Times New Roman" w:cs="Times New Roman"/>
          <w:i/>
          <w:iCs/>
        </w:rPr>
      </w:pPr>
      <w:r w:rsidRPr="00F51AC1">
        <w:rPr>
          <w:rFonts w:eastAsia="MS PGothic" w:hAnsi="Calibri"/>
          <w:color w:val="000000"/>
          <w:kern w:val="24"/>
        </w:rPr>
        <w:t>Certains techniciens de terrain manquent de connaissances sur le processus de création d’APC</w:t>
      </w:r>
      <w:r w:rsidR="00431568" w:rsidRPr="00F55BDF">
        <w:rPr>
          <w:rFonts w:eastAsia="MS PGothic" w:hAnsi="Calibri"/>
          <w:color w:val="000000"/>
          <w:kern w:val="24"/>
        </w:rPr>
        <w:t xml:space="preserve"> : </w:t>
      </w:r>
      <w:r w:rsidR="00431568" w:rsidRPr="00F55BDF">
        <w:rPr>
          <w:rFonts w:eastAsia="MS PGothic" w:hAnsi="Calibri"/>
          <w:i/>
          <w:iCs/>
          <w:color w:val="000000"/>
          <w:kern w:val="24"/>
        </w:rPr>
        <w:t xml:space="preserve">Solutions : le renforcement des capacités </w:t>
      </w:r>
      <w:r w:rsidR="00FD540F" w:rsidRPr="00F55BDF">
        <w:rPr>
          <w:rFonts w:eastAsia="MS PGothic" w:hAnsi="Calibri"/>
          <w:i/>
          <w:iCs/>
          <w:color w:val="000000"/>
          <w:kern w:val="24"/>
        </w:rPr>
        <w:t xml:space="preserve">par l’UCP </w:t>
      </w:r>
      <w:r w:rsidR="00431568" w:rsidRPr="00F55BDF">
        <w:rPr>
          <w:rFonts w:eastAsia="MS PGothic" w:hAnsi="Calibri"/>
          <w:i/>
          <w:iCs/>
          <w:color w:val="000000"/>
          <w:kern w:val="24"/>
        </w:rPr>
        <w:t>sur le mode de gouvernance, la structure de gestion des APC, le processus d’élaboration du schéma d’aménagement et le COAP avec la collaboration avec l’éq</w:t>
      </w:r>
      <w:r w:rsidR="00FD540F" w:rsidRPr="00F55BDF">
        <w:rPr>
          <w:rFonts w:eastAsia="MS PGothic" w:hAnsi="Calibri"/>
          <w:i/>
          <w:iCs/>
          <w:color w:val="000000"/>
          <w:kern w:val="24"/>
        </w:rPr>
        <w:t>uipe du Service Aires Protégées de la DGRNE du MEDD.</w:t>
      </w:r>
    </w:p>
    <w:p w14:paraId="304B4304" w14:textId="133AB95C" w:rsidR="00F51AC1" w:rsidRPr="00F51AC1" w:rsidRDefault="00F51AC1" w:rsidP="00F51AC1">
      <w:pPr>
        <w:numPr>
          <w:ilvl w:val="0"/>
          <w:numId w:val="15"/>
        </w:numPr>
        <w:spacing w:after="0" w:line="256" w:lineRule="auto"/>
        <w:ind w:left="357" w:hanging="357"/>
        <w:contextualSpacing/>
        <w:rPr>
          <w:rFonts w:ascii="Times New Roman" w:eastAsia="Times New Roman" w:hAnsi="Times New Roman" w:cs="Times New Roman"/>
          <w:i/>
          <w:iCs/>
        </w:rPr>
      </w:pPr>
      <w:r w:rsidRPr="00F51AC1">
        <w:rPr>
          <w:rFonts w:eastAsia="MS PGothic" w:hAnsi="Calibri"/>
          <w:color w:val="000000"/>
          <w:kern w:val="24"/>
        </w:rPr>
        <w:t>Les impacts du changement climatique augmentent les pressions sur les futures APC : production de charbon</w:t>
      </w:r>
      <w:r w:rsidR="00431568" w:rsidRPr="00F55BDF">
        <w:rPr>
          <w:rFonts w:eastAsia="MS PGothic" w:hAnsi="Calibri"/>
          <w:color w:val="000000"/>
          <w:kern w:val="24"/>
        </w:rPr>
        <w:t xml:space="preserve"> de bois</w:t>
      </w:r>
      <w:r w:rsidRPr="00F51AC1">
        <w:rPr>
          <w:rFonts w:eastAsia="MS PGothic" w:hAnsi="Calibri"/>
          <w:color w:val="000000"/>
          <w:kern w:val="24"/>
        </w:rPr>
        <w:t>, coupe sélective, collecte, …</w:t>
      </w:r>
      <w:r w:rsidR="00FD540F" w:rsidRPr="00F55BDF">
        <w:rPr>
          <w:rFonts w:eastAsia="MS PGothic" w:hAnsi="Calibri"/>
          <w:color w:val="000000"/>
          <w:kern w:val="24"/>
        </w:rPr>
        <w:t xml:space="preserve"> : </w:t>
      </w:r>
      <w:r w:rsidR="00FD540F" w:rsidRPr="00F55BDF">
        <w:rPr>
          <w:rFonts w:eastAsia="MS PGothic" w:hAnsi="Calibri"/>
          <w:i/>
          <w:iCs/>
          <w:color w:val="000000"/>
          <w:kern w:val="24"/>
        </w:rPr>
        <w:t xml:space="preserve">Solutions : développement de stratégies pour les alternatives aux pressions :  les AGR à développer devront être adaptées et tenant compte de la résilience socio-économique de la population locale - développement des activités agricoles avec des techniques innovantes adaptées (micro-irrigation par goutte à goutte, semences à cycle court, agroforesterie, …) et partenariat avec le Service de l’Agriculture et élevage et d’autres projets comme le PACARC (canal </w:t>
      </w:r>
      <w:proofErr w:type="spellStart"/>
      <w:r w:rsidR="00FD540F" w:rsidRPr="00F55BDF">
        <w:rPr>
          <w:rFonts w:eastAsia="MS PGothic" w:hAnsi="Calibri"/>
          <w:i/>
          <w:iCs/>
          <w:color w:val="000000"/>
          <w:kern w:val="24"/>
        </w:rPr>
        <w:t>vezo</w:t>
      </w:r>
      <w:proofErr w:type="spellEnd"/>
      <w:r w:rsidR="00FD540F" w:rsidRPr="00F55BDF">
        <w:rPr>
          <w:rFonts w:eastAsia="MS PGothic" w:hAnsi="Calibri"/>
          <w:i/>
          <w:iCs/>
          <w:color w:val="000000"/>
          <w:kern w:val="24"/>
        </w:rPr>
        <w:t>);</w:t>
      </w:r>
    </w:p>
    <w:p w14:paraId="2B506564" w14:textId="1F483C15" w:rsidR="00F51AC1" w:rsidRPr="00F51AC1" w:rsidRDefault="00F51AC1" w:rsidP="00F51AC1">
      <w:pPr>
        <w:numPr>
          <w:ilvl w:val="0"/>
          <w:numId w:val="15"/>
        </w:numPr>
        <w:kinsoku w:val="0"/>
        <w:overflowPunct w:val="0"/>
        <w:spacing w:after="0" w:line="240" w:lineRule="auto"/>
        <w:ind w:left="357" w:hanging="357"/>
        <w:contextualSpacing/>
        <w:jc w:val="both"/>
        <w:textAlignment w:val="baseline"/>
        <w:rPr>
          <w:rFonts w:eastAsia="MS PGothic" w:hAnsi="Calibri"/>
          <w:color w:val="000000"/>
          <w:kern w:val="24"/>
        </w:rPr>
      </w:pPr>
      <w:r w:rsidRPr="00F51AC1">
        <w:rPr>
          <w:rFonts w:eastAsia="MS PGothic" w:hAnsi="Calibri"/>
          <w:color w:val="000000"/>
          <w:kern w:val="24"/>
        </w:rPr>
        <w:t xml:space="preserve">Contexte politique </w:t>
      </w:r>
      <w:r w:rsidRPr="00F55BDF">
        <w:rPr>
          <w:rFonts w:eastAsia="MS PGothic" w:hAnsi="Calibri"/>
          <w:color w:val="000000"/>
          <w:kern w:val="24"/>
        </w:rPr>
        <w:t xml:space="preserve">lié à la </w:t>
      </w:r>
      <w:r w:rsidRPr="00F51AC1">
        <w:rPr>
          <w:rFonts w:eastAsia="MS PGothic" w:hAnsi="Calibri"/>
          <w:color w:val="000000"/>
          <w:kern w:val="24"/>
        </w:rPr>
        <w:t>fin de mandat des Maires, acteurs clés du processus APC</w:t>
      </w:r>
      <w:r w:rsidR="00431568" w:rsidRPr="00F55BDF">
        <w:rPr>
          <w:rFonts w:eastAsia="MS PGothic" w:hAnsi="Calibri"/>
          <w:color w:val="000000"/>
          <w:kern w:val="24"/>
        </w:rPr>
        <w:t xml:space="preserve"> et SAC : </w:t>
      </w:r>
      <w:r w:rsidR="00431568" w:rsidRPr="00F55BDF">
        <w:rPr>
          <w:rFonts w:eastAsia="MS PGothic" w:hAnsi="Calibri"/>
          <w:i/>
          <w:iCs/>
          <w:color w:val="000000"/>
          <w:kern w:val="24"/>
        </w:rPr>
        <w:t xml:space="preserve">Solution : </w:t>
      </w:r>
      <w:r w:rsidR="00FD540F" w:rsidRPr="00F55BDF">
        <w:rPr>
          <w:rFonts w:eastAsia="MS PGothic" w:hAnsi="Calibri"/>
          <w:i/>
          <w:iCs/>
          <w:color w:val="000000"/>
          <w:kern w:val="24"/>
        </w:rPr>
        <w:t xml:space="preserve">implication des Agents et Conseils Communaux aux </w:t>
      </w:r>
      <w:proofErr w:type="gramStart"/>
      <w:r w:rsidR="00FD540F" w:rsidRPr="00F55BDF">
        <w:rPr>
          <w:rFonts w:eastAsia="MS PGothic" w:hAnsi="Calibri"/>
          <w:i/>
          <w:iCs/>
          <w:color w:val="000000"/>
          <w:kern w:val="24"/>
        </w:rPr>
        <w:t>activités  (</w:t>
      </w:r>
      <w:proofErr w:type="gramEnd"/>
      <w:r w:rsidR="00FD540F" w:rsidRPr="00F55BDF">
        <w:rPr>
          <w:rFonts w:eastAsia="MS PGothic" w:hAnsi="Calibri"/>
          <w:i/>
          <w:iCs/>
          <w:color w:val="000000"/>
          <w:kern w:val="24"/>
        </w:rPr>
        <w:t>APC et SAC).</w:t>
      </w:r>
    </w:p>
    <w:p w14:paraId="4C70BC21" w14:textId="7470D132" w:rsidR="00F51AC1" w:rsidRPr="00F51AC1" w:rsidRDefault="00F51AC1" w:rsidP="00F51AC1">
      <w:pPr>
        <w:numPr>
          <w:ilvl w:val="0"/>
          <w:numId w:val="15"/>
        </w:numPr>
        <w:kinsoku w:val="0"/>
        <w:overflowPunct w:val="0"/>
        <w:spacing w:after="0" w:line="240" w:lineRule="auto"/>
        <w:ind w:left="357" w:hanging="357"/>
        <w:contextualSpacing/>
        <w:jc w:val="both"/>
        <w:textAlignment w:val="baseline"/>
        <w:rPr>
          <w:rFonts w:eastAsia="MS PGothic" w:hAnsi="Calibri"/>
          <w:i/>
          <w:iCs/>
          <w:color w:val="000000"/>
          <w:kern w:val="24"/>
        </w:rPr>
      </w:pPr>
      <w:r w:rsidRPr="00F51AC1">
        <w:rPr>
          <w:rFonts w:eastAsia="MS PGothic" w:hAnsi="Calibri"/>
          <w:color w:val="000000"/>
          <w:kern w:val="24"/>
        </w:rPr>
        <w:t xml:space="preserve">Réticence des paysans cibles à s’engager auprès des Institutions de </w:t>
      </w:r>
      <w:proofErr w:type="spellStart"/>
      <w:r w:rsidRPr="00F55BDF">
        <w:rPr>
          <w:rFonts w:eastAsia="MS PGothic" w:hAnsi="Calibri"/>
          <w:color w:val="000000"/>
          <w:kern w:val="24"/>
        </w:rPr>
        <w:t>Micro-Finances</w:t>
      </w:r>
      <w:proofErr w:type="spellEnd"/>
      <w:r w:rsidR="00FD540F" w:rsidRPr="00F55BDF">
        <w:rPr>
          <w:rFonts w:eastAsia="MS PGothic" w:hAnsi="Calibri"/>
          <w:color w:val="000000"/>
          <w:kern w:val="24"/>
        </w:rPr>
        <w:t xml:space="preserve"> : </w:t>
      </w:r>
      <w:r w:rsidR="00FD540F" w:rsidRPr="00F55BDF">
        <w:rPr>
          <w:rFonts w:eastAsia="MS PGothic" w:hAnsi="Calibri"/>
          <w:i/>
          <w:iCs/>
          <w:color w:val="000000"/>
          <w:kern w:val="24"/>
        </w:rPr>
        <w:t>Solutions : adoption de l’option relative au développement de l’Epargne Solidaire auprès des communautés futures gestionnaires des APC (priorisation des femmes) et partage de bonne pratique avec PDSPE.</w:t>
      </w:r>
    </w:p>
    <w:p w14:paraId="1BEE2A56" w14:textId="14592E6A" w:rsidR="00F51AC1" w:rsidRPr="00F51AC1" w:rsidRDefault="00F51AC1" w:rsidP="00F51AC1">
      <w:pPr>
        <w:numPr>
          <w:ilvl w:val="0"/>
          <w:numId w:val="15"/>
        </w:numPr>
        <w:kinsoku w:val="0"/>
        <w:overflowPunct w:val="0"/>
        <w:spacing w:after="0" w:line="240" w:lineRule="auto"/>
        <w:ind w:left="357" w:hanging="357"/>
        <w:contextualSpacing/>
        <w:jc w:val="both"/>
        <w:textAlignment w:val="baseline"/>
        <w:rPr>
          <w:rFonts w:eastAsia="MS PGothic" w:hAnsi="Calibri"/>
          <w:i/>
          <w:iCs/>
          <w:color w:val="000000"/>
          <w:kern w:val="24"/>
        </w:rPr>
      </w:pPr>
      <w:r w:rsidRPr="00F51AC1">
        <w:rPr>
          <w:rFonts w:eastAsia="MS PGothic" w:hAnsi="Calibri"/>
          <w:color w:val="000000"/>
          <w:kern w:val="24"/>
        </w:rPr>
        <w:t>Surévaluation de certaines lignes d’activités de la Composante #1</w:t>
      </w:r>
      <w:r w:rsidR="00FD540F" w:rsidRPr="00F55BDF">
        <w:rPr>
          <w:rFonts w:eastAsia="MS PGothic" w:hAnsi="Calibri"/>
          <w:color w:val="000000"/>
          <w:kern w:val="24"/>
        </w:rPr>
        <w:t xml:space="preserve"> : </w:t>
      </w:r>
      <w:r w:rsidR="00FD540F" w:rsidRPr="00F55BDF">
        <w:rPr>
          <w:rFonts w:eastAsia="MS PGothic" w:hAnsi="Calibri"/>
          <w:i/>
          <w:iCs/>
          <w:color w:val="000000"/>
          <w:kern w:val="24"/>
        </w:rPr>
        <w:t xml:space="preserve">Solutions : organisation d’une réunion extraordinaire du COPIL en septembre 2019 pour une réaffectation budgétaire dans d’autres lignes prioritaires. </w:t>
      </w:r>
    </w:p>
    <w:p w14:paraId="1ADAF1BF" w14:textId="7B2B580A" w:rsidR="00F51AC1" w:rsidRPr="00F51AC1" w:rsidRDefault="00F51AC1" w:rsidP="00F51AC1">
      <w:pPr>
        <w:numPr>
          <w:ilvl w:val="0"/>
          <w:numId w:val="15"/>
        </w:numPr>
        <w:kinsoku w:val="0"/>
        <w:overflowPunct w:val="0"/>
        <w:spacing w:after="0" w:line="240" w:lineRule="auto"/>
        <w:ind w:left="357" w:hanging="357"/>
        <w:contextualSpacing/>
        <w:jc w:val="both"/>
        <w:textAlignment w:val="baseline"/>
        <w:rPr>
          <w:rFonts w:eastAsia="MS PGothic" w:hAnsi="Calibri"/>
          <w:i/>
          <w:iCs/>
          <w:color w:val="000000"/>
          <w:kern w:val="24"/>
        </w:rPr>
      </w:pPr>
      <w:r w:rsidRPr="00F51AC1">
        <w:rPr>
          <w:rFonts w:eastAsia="MS PGothic" w:hAnsi="Calibri"/>
          <w:color w:val="000000"/>
          <w:kern w:val="24"/>
        </w:rPr>
        <w:t>Retard dans le décaissement dans les 2 composantes</w:t>
      </w:r>
      <w:r w:rsidR="00FD540F" w:rsidRPr="00F55BDF">
        <w:rPr>
          <w:rFonts w:eastAsia="MS PGothic" w:hAnsi="Calibri"/>
          <w:color w:val="000000"/>
          <w:kern w:val="24"/>
        </w:rPr>
        <w:t xml:space="preserve"> : </w:t>
      </w:r>
      <w:r w:rsidR="00FD540F" w:rsidRPr="00F55BDF">
        <w:rPr>
          <w:rFonts w:eastAsia="MS PGothic" w:hAnsi="Calibri"/>
          <w:i/>
          <w:iCs/>
          <w:color w:val="000000"/>
          <w:kern w:val="24"/>
        </w:rPr>
        <w:t>Solutions : appui de l’équipe de passation de marchés du PNUD avec le suivi des dossiers en cours. Intensification des échanges entre les partenaires de mise en œuvre avec les réunions de coordination mensuelle et à partir de mi-novembre, un suivi hebdomadaire du plan opérationnel et de décaissement est adopté,</w:t>
      </w:r>
    </w:p>
    <w:p w14:paraId="26CEB4D3" w14:textId="033EFAAD" w:rsidR="00F51AC1" w:rsidRPr="00F51AC1" w:rsidRDefault="00F51AC1" w:rsidP="00F51AC1">
      <w:pPr>
        <w:numPr>
          <w:ilvl w:val="0"/>
          <w:numId w:val="15"/>
        </w:numPr>
        <w:kinsoku w:val="0"/>
        <w:overflowPunct w:val="0"/>
        <w:spacing w:after="0" w:line="240" w:lineRule="auto"/>
        <w:ind w:left="357" w:hanging="357"/>
        <w:contextualSpacing/>
        <w:jc w:val="both"/>
        <w:textAlignment w:val="baseline"/>
        <w:rPr>
          <w:rFonts w:eastAsia="MS PGothic" w:hAnsi="Calibri"/>
          <w:color w:val="000000"/>
          <w:kern w:val="24"/>
        </w:rPr>
      </w:pPr>
      <w:r w:rsidRPr="00F51AC1">
        <w:rPr>
          <w:rFonts w:eastAsia="MS PGothic" w:hAnsi="Calibri"/>
          <w:color w:val="000000"/>
          <w:kern w:val="24"/>
        </w:rPr>
        <w:t>Niveau d’informations et de compréhension entre les partenaires de mise en œuvre du projet sur certains indicateurs et</w:t>
      </w:r>
      <w:r w:rsidRPr="00F55BDF">
        <w:rPr>
          <w:rFonts w:eastAsia="MS PGothic" w:hAnsi="Calibri"/>
          <w:color w:val="000000"/>
          <w:kern w:val="24"/>
        </w:rPr>
        <w:t xml:space="preserve"> « ce</w:t>
      </w:r>
      <w:r w:rsidRPr="00F51AC1">
        <w:rPr>
          <w:rFonts w:eastAsia="MS PGothic" w:hAnsi="Calibri"/>
          <w:color w:val="000000"/>
          <w:kern w:val="24"/>
        </w:rPr>
        <w:t xml:space="preserve"> que le projet veut changer</w:t>
      </w:r>
      <w:r w:rsidRPr="00F55BDF">
        <w:rPr>
          <w:rFonts w:eastAsia="MS PGothic" w:hAnsi="Calibri"/>
          <w:color w:val="000000"/>
          <w:kern w:val="24"/>
        </w:rPr>
        <w:t xml:space="preserve"> </w:t>
      </w:r>
      <w:r w:rsidRPr="00F51AC1">
        <w:rPr>
          <w:rFonts w:eastAsia="MS PGothic" w:hAnsi="Calibri"/>
          <w:color w:val="000000"/>
          <w:kern w:val="24"/>
        </w:rPr>
        <w:t>»</w:t>
      </w:r>
      <w:r w:rsidRPr="00F55BDF">
        <w:rPr>
          <w:rFonts w:eastAsia="MS PGothic" w:hAnsi="Calibri"/>
          <w:color w:val="000000"/>
          <w:kern w:val="24"/>
        </w:rPr>
        <w:t xml:space="preserve"> : </w:t>
      </w:r>
      <w:r w:rsidR="00FD540F" w:rsidRPr="00F55BDF">
        <w:rPr>
          <w:rFonts w:eastAsia="MS PGothic" w:hAnsi="Calibri"/>
          <w:i/>
          <w:iCs/>
          <w:color w:val="000000"/>
          <w:kern w:val="24"/>
        </w:rPr>
        <w:t>Solutions : appui du responsable de suivi évaluation du PNUD et l’adoption de la gestion axée sur le résultat. Réflexion à faire pendant chaque réunion de coordination sur la théorie de changement par rapport au projet.</w:t>
      </w:r>
    </w:p>
    <w:p w14:paraId="3CBF035A" w14:textId="62719D2B" w:rsidR="005D5B2E" w:rsidRPr="00F55BDF" w:rsidRDefault="005D5B2E" w:rsidP="003D7D1E">
      <w:pPr>
        <w:rPr>
          <w:bCs/>
          <w:iCs/>
        </w:rPr>
      </w:pPr>
    </w:p>
    <w:p w14:paraId="12714CC4" w14:textId="77777777" w:rsidR="003D7D1E" w:rsidRPr="00F55BDF" w:rsidRDefault="003D7D1E" w:rsidP="00246439">
      <w:pPr>
        <w:pStyle w:val="ListParagraph"/>
        <w:numPr>
          <w:ilvl w:val="0"/>
          <w:numId w:val="1"/>
        </w:numPr>
        <w:rPr>
          <w:b/>
          <w:i/>
          <w:sz w:val="24"/>
          <w:lang w:val="fr-FR"/>
        </w:rPr>
      </w:pPr>
      <w:r w:rsidRPr="00F55BDF">
        <w:rPr>
          <w:b/>
          <w:i/>
          <w:sz w:val="24"/>
          <w:lang w:val="fr-FR"/>
        </w:rPr>
        <w:lastRenderedPageBreak/>
        <w:t>Perspectives pour l’année prochaine</w:t>
      </w:r>
    </w:p>
    <w:p w14:paraId="063F9460" w14:textId="269D2E2C" w:rsidR="004F2447" w:rsidRPr="00F55BDF" w:rsidRDefault="004F2447" w:rsidP="00000074">
      <w:pPr>
        <w:spacing w:after="0"/>
        <w:rPr>
          <w:color w:val="404040" w:themeColor="text1" w:themeTint="BF"/>
        </w:rPr>
      </w:pPr>
      <w:r w:rsidRPr="00F55BDF">
        <w:rPr>
          <w:color w:val="404040" w:themeColor="text1" w:themeTint="BF"/>
        </w:rPr>
        <w:t>Dans l’ensemble, les perspectives pour 2020 sont axées sur les recommandations de l’évaluation à mi-parcours du projet.</w:t>
      </w:r>
    </w:p>
    <w:p w14:paraId="3E8094AE" w14:textId="6430AD00" w:rsidR="004F2447" w:rsidRPr="00F55BDF" w:rsidRDefault="004F2447" w:rsidP="004F2447">
      <w:pPr>
        <w:pStyle w:val="ListParagraph"/>
        <w:numPr>
          <w:ilvl w:val="0"/>
          <w:numId w:val="2"/>
        </w:numPr>
        <w:spacing w:after="0"/>
        <w:rPr>
          <w:color w:val="404040" w:themeColor="text1" w:themeTint="BF"/>
          <w:lang w:val="fr-FR"/>
        </w:rPr>
      </w:pPr>
      <w:r w:rsidRPr="00F55BDF">
        <w:rPr>
          <w:color w:val="404040" w:themeColor="text1" w:themeTint="BF"/>
          <w:lang w:val="fr-FR"/>
        </w:rPr>
        <w:t xml:space="preserve">Composante 1 : </w:t>
      </w:r>
    </w:p>
    <w:p w14:paraId="7D73B418" w14:textId="7F339EA1" w:rsidR="004F2447" w:rsidRPr="00F55BDF" w:rsidRDefault="004F2447"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55BDF">
        <w:rPr>
          <w:rFonts w:eastAsia="MS PGothic" w:hAnsi="Calibri"/>
          <w:color w:val="000000" w:themeColor="text1"/>
          <w:kern w:val="24"/>
        </w:rPr>
        <w:t xml:space="preserve">Opérationnalisation de l’OBER et assurer le bon fonctionnement de l’OPTBD avec les parties prenantes (techniques et sectorielles). </w:t>
      </w:r>
    </w:p>
    <w:p w14:paraId="25A58D25" w14:textId="69C5D305" w:rsidR="004F2447" w:rsidRPr="00F55BDF" w:rsidRDefault="004F2447"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55BDF">
        <w:rPr>
          <w:rFonts w:eastAsia="MS PGothic" w:hAnsi="Calibri"/>
          <w:color w:val="000000" w:themeColor="text1"/>
          <w:kern w:val="24"/>
        </w:rPr>
        <w:t>Finalisation des travaux de consultances sur l’évaluation de la valeur économique des services écosystémiques des 08 AP et 07 APC et l’analyse suivi de propositions des lois et textes juridiques environnementaux.</w:t>
      </w:r>
    </w:p>
    <w:p w14:paraId="4FD186F0" w14:textId="34DDBFAC" w:rsidR="004F2447" w:rsidRPr="00F55BDF" w:rsidRDefault="00F55BDF"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55BDF">
        <w:rPr>
          <w:rFonts w:eastAsia="MS PGothic" w:hAnsi="Calibri"/>
          <w:color w:val="000000" w:themeColor="text1"/>
          <w:kern w:val="24"/>
        </w:rPr>
        <w:t>Validation du document DOGME par le MEDD afin de concrétiser la collaboration entre la DREDD et une entreprise d’exploitation privée sur la gestion des menaces.</w:t>
      </w:r>
    </w:p>
    <w:p w14:paraId="3A0EF457" w14:textId="1F284003" w:rsidR="00F55BDF" w:rsidRPr="00F55BDF" w:rsidRDefault="00F55BDF"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55BDF">
        <w:rPr>
          <w:rFonts w:eastAsia="MS PGothic" w:hAnsi="Calibri"/>
          <w:color w:val="000000" w:themeColor="text1"/>
          <w:kern w:val="24"/>
        </w:rPr>
        <w:t xml:space="preserve">Réalisation de l’EES régionale pour qu’il y aura plus de synergie au niveau des interventions des différents secteurs d’investissement dans la Région </w:t>
      </w:r>
      <w:proofErr w:type="spellStart"/>
      <w:r w:rsidRPr="00F55BDF">
        <w:rPr>
          <w:rFonts w:eastAsia="MS PGothic" w:hAnsi="Calibri"/>
          <w:color w:val="000000" w:themeColor="text1"/>
          <w:kern w:val="24"/>
        </w:rPr>
        <w:t>Atsimo</w:t>
      </w:r>
      <w:proofErr w:type="spellEnd"/>
      <w:r w:rsidRPr="00F55BDF">
        <w:rPr>
          <w:rFonts w:eastAsia="MS PGothic" w:hAnsi="Calibri"/>
          <w:color w:val="000000" w:themeColor="text1"/>
          <w:kern w:val="24"/>
        </w:rPr>
        <w:t xml:space="preserve"> </w:t>
      </w:r>
      <w:proofErr w:type="spellStart"/>
      <w:r w:rsidRPr="00F55BDF">
        <w:rPr>
          <w:rFonts w:eastAsia="MS PGothic" w:hAnsi="Calibri"/>
          <w:color w:val="000000" w:themeColor="text1"/>
          <w:kern w:val="24"/>
        </w:rPr>
        <w:t>Andrefana</w:t>
      </w:r>
      <w:proofErr w:type="spellEnd"/>
      <w:r w:rsidRPr="00F55BDF">
        <w:rPr>
          <w:rFonts w:eastAsia="MS PGothic" w:hAnsi="Calibri"/>
          <w:color w:val="000000" w:themeColor="text1"/>
          <w:kern w:val="24"/>
        </w:rPr>
        <w:t xml:space="preserve">. </w:t>
      </w:r>
    </w:p>
    <w:p w14:paraId="224B0E32" w14:textId="7C9B2978" w:rsidR="003D7D1E" w:rsidRPr="00F55BDF" w:rsidRDefault="00F55BDF"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55BDF">
        <w:rPr>
          <w:rFonts w:eastAsia="MS PGothic" w:hAnsi="Calibri"/>
          <w:color w:val="000000" w:themeColor="text1"/>
          <w:kern w:val="24"/>
        </w:rPr>
        <w:t>Appui dans la mise en œuvre du plan de reboisement régional tout en impliquant les AP, APC et les communautés locales</w:t>
      </w:r>
    </w:p>
    <w:p w14:paraId="78BC911C" w14:textId="3568D2C5" w:rsidR="00FD540F" w:rsidRPr="00F55BDF" w:rsidRDefault="00F55BDF"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55BDF">
        <w:rPr>
          <w:rFonts w:eastAsia="MS PGothic" w:hAnsi="Calibri"/>
          <w:color w:val="000000" w:themeColor="text1"/>
          <w:kern w:val="24"/>
        </w:rPr>
        <w:t>Mise en place des villages écologiques autour des 07 APC, en collaboration avec PDSPE.</w:t>
      </w:r>
    </w:p>
    <w:p w14:paraId="116A96FA" w14:textId="412EAC44" w:rsidR="00F55BDF" w:rsidRPr="00F55BDF" w:rsidRDefault="00F55BDF" w:rsidP="00F55BDF">
      <w:pPr>
        <w:kinsoku w:val="0"/>
        <w:overflowPunct w:val="0"/>
        <w:spacing w:after="0" w:line="240" w:lineRule="auto"/>
        <w:contextualSpacing/>
        <w:jc w:val="both"/>
        <w:textAlignment w:val="baseline"/>
        <w:rPr>
          <w:rFonts w:eastAsia="MS PGothic" w:hAnsi="Calibri"/>
          <w:color w:val="000000" w:themeColor="text1"/>
          <w:kern w:val="24"/>
        </w:rPr>
      </w:pPr>
    </w:p>
    <w:p w14:paraId="3693966E" w14:textId="63064BB5" w:rsidR="00F55BDF" w:rsidRPr="00F55BDF" w:rsidRDefault="00F55BDF" w:rsidP="00F55BDF">
      <w:pPr>
        <w:pStyle w:val="ListParagraph"/>
        <w:numPr>
          <w:ilvl w:val="0"/>
          <w:numId w:val="2"/>
        </w:numPr>
        <w:kinsoku w:val="0"/>
        <w:overflowPunct w:val="0"/>
        <w:spacing w:after="0" w:line="240" w:lineRule="auto"/>
        <w:jc w:val="both"/>
        <w:textAlignment w:val="baseline"/>
        <w:rPr>
          <w:rFonts w:eastAsia="MS PGothic" w:hAnsi="Calibri"/>
          <w:color w:val="000000" w:themeColor="text1"/>
          <w:kern w:val="24"/>
          <w:lang w:val="fr-FR"/>
        </w:rPr>
      </w:pPr>
      <w:r w:rsidRPr="00F55BDF">
        <w:rPr>
          <w:rFonts w:eastAsia="MS PGothic" w:hAnsi="Calibri"/>
          <w:color w:val="000000" w:themeColor="text1"/>
          <w:kern w:val="24"/>
          <w:lang w:val="fr-FR"/>
        </w:rPr>
        <w:t xml:space="preserve">Composante </w:t>
      </w:r>
      <w:proofErr w:type="gramStart"/>
      <w:r w:rsidRPr="00F55BDF">
        <w:rPr>
          <w:rFonts w:eastAsia="MS PGothic" w:hAnsi="Calibri"/>
          <w:color w:val="000000" w:themeColor="text1"/>
          <w:kern w:val="24"/>
          <w:lang w:val="fr-FR"/>
        </w:rPr>
        <w:t>2:</w:t>
      </w:r>
      <w:proofErr w:type="gramEnd"/>
    </w:p>
    <w:p w14:paraId="05027FD6" w14:textId="77777777" w:rsidR="00F55BDF" w:rsidRPr="00F55BDF" w:rsidRDefault="00F55BDF" w:rsidP="00F55BDF">
      <w:pPr>
        <w:kinsoku w:val="0"/>
        <w:overflowPunct w:val="0"/>
        <w:spacing w:after="0" w:line="240" w:lineRule="auto"/>
        <w:contextualSpacing/>
        <w:jc w:val="both"/>
        <w:textAlignment w:val="baseline"/>
        <w:rPr>
          <w:rFonts w:eastAsia="MS PGothic" w:hAnsi="Calibri"/>
          <w:color w:val="000000" w:themeColor="text1"/>
          <w:kern w:val="24"/>
        </w:rPr>
      </w:pPr>
    </w:p>
    <w:p w14:paraId="023CC450" w14:textId="17D6D6B9" w:rsidR="00F55BDF" w:rsidRDefault="00F55BDF"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Pr>
          <w:rFonts w:eastAsia="MS PGothic" w:hAnsi="Calibri"/>
          <w:color w:val="000000" w:themeColor="text1"/>
          <w:kern w:val="24"/>
        </w:rPr>
        <w:t>Finalisation des outils de gestion des APC : PAG, PGESS et homologation des Dinas.</w:t>
      </w:r>
    </w:p>
    <w:p w14:paraId="0C30BF35" w14:textId="77777777" w:rsidR="00F55BDF" w:rsidRPr="00F55BDF" w:rsidRDefault="00F55BDF" w:rsidP="00F55BDF">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55BDF">
        <w:rPr>
          <w:rFonts w:eastAsia="MS PGothic" w:hAnsi="Calibri"/>
          <w:color w:val="000000" w:themeColor="text1"/>
          <w:kern w:val="24"/>
        </w:rPr>
        <w:t>Obtention des arrêtés interministériels de protection temporaire des 07 APC.</w:t>
      </w:r>
    </w:p>
    <w:p w14:paraId="27F83D31" w14:textId="6DCD5846" w:rsidR="00F55BDF" w:rsidRDefault="00F55BDF"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Pr>
          <w:rFonts w:eastAsia="MS PGothic" w:hAnsi="Calibri"/>
          <w:color w:val="000000" w:themeColor="text1"/>
          <w:kern w:val="24"/>
        </w:rPr>
        <w:t>Réalisation des patrouilles périodiques et du Suivi Ecologique Participative (SEP) dans les 07 APC</w:t>
      </w:r>
    </w:p>
    <w:p w14:paraId="79C071CF" w14:textId="2CCB289D" w:rsidR="00F55BDF" w:rsidRDefault="00CD7307"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Pr>
          <w:rFonts w:eastAsia="MS PGothic" w:hAnsi="Calibri"/>
          <w:color w:val="000000" w:themeColor="text1"/>
          <w:kern w:val="24"/>
        </w:rPr>
        <w:t>Opérationnalisation de la structure de gestion de chaque APC mise en place.</w:t>
      </w:r>
    </w:p>
    <w:p w14:paraId="08E1DE76" w14:textId="03A2344E" w:rsidR="00CD7307" w:rsidRDefault="00CD7307"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Pr>
          <w:rFonts w:eastAsia="MS PGothic" w:hAnsi="Calibri"/>
          <w:color w:val="000000" w:themeColor="text1"/>
          <w:kern w:val="24"/>
        </w:rPr>
        <w:t>Développement des AGR et des filières identifiées (agroforesterie, …) afin de contribuer à l’atteinte des indicateurs d’amélioration des conditions de vie des communautés vivant autour des APC.</w:t>
      </w:r>
    </w:p>
    <w:p w14:paraId="3F7AE456" w14:textId="2F8C5A78" w:rsidR="00CD7307" w:rsidRPr="00F55BDF" w:rsidRDefault="00CD7307" w:rsidP="004F2447">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Pr>
          <w:rFonts w:eastAsia="MS PGothic" w:hAnsi="Calibri"/>
          <w:color w:val="000000" w:themeColor="text1"/>
          <w:kern w:val="24"/>
        </w:rPr>
        <w:t>Réduction des pressions dans les 07 APC et ses zones périphériques par la promotion des emplois verts et des techniques de cultures adaptées aux changements climatiques.</w:t>
      </w:r>
    </w:p>
    <w:p w14:paraId="26931855" w14:textId="74193CBB" w:rsidR="00F55BDF" w:rsidRPr="00F55BDF" w:rsidRDefault="00F55BDF" w:rsidP="00F55BDF">
      <w:pPr>
        <w:kinsoku w:val="0"/>
        <w:overflowPunct w:val="0"/>
        <w:spacing w:after="0" w:line="240" w:lineRule="auto"/>
        <w:ind w:left="357"/>
        <w:contextualSpacing/>
        <w:jc w:val="both"/>
        <w:textAlignment w:val="baseline"/>
        <w:rPr>
          <w:rFonts w:eastAsia="MS PGothic" w:hAnsi="Calibri"/>
          <w:color w:val="000000" w:themeColor="text1"/>
          <w:kern w:val="24"/>
        </w:rPr>
      </w:pPr>
    </w:p>
    <w:p w14:paraId="30E80F4A" w14:textId="647B95EE" w:rsidR="00204E92" w:rsidRPr="00F55BDF" w:rsidRDefault="00065D94" w:rsidP="00246439">
      <w:pPr>
        <w:pStyle w:val="ListParagraph"/>
        <w:numPr>
          <w:ilvl w:val="0"/>
          <w:numId w:val="1"/>
        </w:numPr>
        <w:rPr>
          <w:b/>
          <w:i/>
          <w:sz w:val="24"/>
          <w:lang w:val="fr-FR"/>
        </w:rPr>
      </w:pPr>
      <w:r w:rsidRPr="00F55BDF">
        <w:rPr>
          <w:b/>
          <w:i/>
          <w:sz w:val="24"/>
          <w:lang w:val="fr-FR"/>
        </w:rPr>
        <w:t>Leçons apprises, bonnes pratiques et innovations</w:t>
      </w:r>
    </w:p>
    <w:p w14:paraId="0725111D" w14:textId="77777777" w:rsidR="00065D94" w:rsidRPr="00F55BDF" w:rsidRDefault="00065D94" w:rsidP="00065D94">
      <w:pPr>
        <w:pStyle w:val="ListParagraph"/>
        <w:rPr>
          <w:b/>
          <w:i/>
          <w:sz w:val="24"/>
          <w:lang w:val="fr-FR"/>
        </w:rPr>
      </w:pPr>
    </w:p>
    <w:p w14:paraId="47C02213" w14:textId="6B182C0B" w:rsidR="00204E92" w:rsidRPr="00F55BDF" w:rsidRDefault="00065D94" w:rsidP="00065D94">
      <w:pPr>
        <w:pStyle w:val="ListParagraph"/>
        <w:numPr>
          <w:ilvl w:val="0"/>
          <w:numId w:val="2"/>
        </w:numPr>
        <w:spacing w:after="0"/>
        <w:rPr>
          <w:i/>
          <w:color w:val="404040" w:themeColor="text1" w:themeTint="BF"/>
          <w:lang w:val="fr-FR"/>
        </w:rPr>
      </w:pPr>
      <w:r w:rsidRPr="00F55BDF">
        <w:rPr>
          <w:i/>
          <w:color w:val="404040" w:themeColor="text1" w:themeTint="BF"/>
          <w:lang w:val="fr-FR"/>
        </w:rPr>
        <w:t>Leçons apprises :</w:t>
      </w:r>
      <w:r w:rsidR="004F2316" w:rsidRPr="00F55BDF">
        <w:rPr>
          <w:i/>
          <w:color w:val="404040" w:themeColor="text1" w:themeTint="BF"/>
          <w:lang w:val="fr-FR"/>
        </w:rPr>
        <w:t xml:space="preserve"> </w:t>
      </w:r>
    </w:p>
    <w:p w14:paraId="0D7473AF" w14:textId="5E2B1427" w:rsidR="00065D94" w:rsidRDefault="00CD7307" w:rsidP="00D970D6">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CD7307">
        <w:rPr>
          <w:rFonts w:eastAsia="MS PGothic" w:hAnsi="Calibri"/>
          <w:color w:val="000000" w:themeColor="text1"/>
          <w:kern w:val="24"/>
        </w:rPr>
        <w:t xml:space="preserve">Valoriser les acquis et les expériences positives des autres projets / programmes qui interviennent dans le même paysage. Cela facilitera la mise en œuvre et d’arriver aux résultats attendus ; exemples : (i) collaboration avec le Ministère de l’Aménagement du Territoire/MAHTP dans l’élaboration des </w:t>
      </w:r>
      <w:proofErr w:type="spellStart"/>
      <w:r w:rsidRPr="00CD7307">
        <w:rPr>
          <w:rFonts w:eastAsia="MS PGothic" w:hAnsi="Calibri"/>
          <w:color w:val="000000" w:themeColor="text1"/>
          <w:kern w:val="24"/>
        </w:rPr>
        <w:t>SACs</w:t>
      </w:r>
      <w:proofErr w:type="spellEnd"/>
      <w:r w:rsidRPr="00CD7307">
        <w:rPr>
          <w:rFonts w:eastAsia="MS PGothic" w:hAnsi="Calibri"/>
          <w:color w:val="000000" w:themeColor="text1"/>
          <w:kern w:val="24"/>
        </w:rPr>
        <w:t xml:space="preserve"> et dans la conception des plans réguliers avec repérages et l’inventaire parcellaire de chaque APC ; (ii) valorisation de la structure de gestion des COBA existantes dans le choix du mode de gouvernance à mettre en place dans les APC</w:t>
      </w:r>
      <w:r>
        <w:rPr>
          <w:rFonts w:eastAsia="MS PGothic" w:hAnsi="Calibri"/>
          <w:color w:val="000000" w:themeColor="text1"/>
          <w:kern w:val="24"/>
        </w:rPr>
        <w:t>.</w:t>
      </w:r>
    </w:p>
    <w:p w14:paraId="35B10512" w14:textId="17A5FE64" w:rsidR="00CD7307" w:rsidRDefault="00915273" w:rsidP="00D970D6">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915273">
        <w:rPr>
          <w:rFonts w:eastAsia="MS PGothic" w:hAnsi="Calibri"/>
          <w:color w:val="000000" w:themeColor="text1"/>
          <w:kern w:val="24"/>
        </w:rPr>
        <w:t>Administration &amp; Finances : afin d’améliorer la gestion du paiement des DSA (indemnités) des participants aux ateliers, réunions, … ; chaque participant est informé à l’avance que s’il ne peut pas assister à l’atelier, il doit impérativement communiquer le nom de la personne qui va le remplacer au projet, car c’est nominatif</w:t>
      </w:r>
      <w:r>
        <w:rPr>
          <w:rFonts w:eastAsia="MS PGothic" w:hAnsi="Calibri"/>
          <w:color w:val="000000" w:themeColor="text1"/>
          <w:kern w:val="24"/>
        </w:rPr>
        <w:t>.</w:t>
      </w:r>
    </w:p>
    <w:p w14:paraId="561D0683" w14:textId="643EB832" w:rsidR="00DE3D33" w:rsidRDefault="00DE3D33" w:rsidP="00D970D6">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Pr>
          <w:rFonts w:eastAsia="MS PGothic" w:hAnsi="Calibri"/>
          <w:color w:val="000000" w:themeColor="text1"/>
          <w:kern w:val="24"/>
        </w:rPr>
        <w:t>Devant la réticence des membres des communautés vivant autour des APC à emprunter auprès des institutions de microfinances ; l’expérience du projet PDSPE dans l’</w:t>
      </w:r>
      <w:proofErr w:type="spellStart"/>
      <w:r>
        <w:rPr>
          <w:rFonts w:eastAsia="MS PGothic" w:hAnsi="Calibri"/>
          <w:color w:val="000000" w:themeColor="text1"/>
          <w:kern w:val="24"/>
        </w:rPr>
        <w:t>Androy</w:t>
      </w:r>
      <w:proofErr w:type="spellEnd"/>
      <w:r>
        <w:rPr>
          <w:rFonts w:eastAsia="MS PGothic" w:hAnsi="Calibri"/>
          <w:color w:val="000000" w:themeColor="text1"/>
          <w:kern w:val="24"/>
        </w:rPr>
        <w:t xml:space="preserve"> a permis d’adopter l’approche de sensibilisation à épargner en commençant avec le travail de cash for </w:t>
      </w:r>
      <w:proofErr w:type="spellStart"/>
      <w:r>
        <w:rPr>
          <w:rFonts w:eastAsia="MS PGothic" w:hAnsi="Calibri"/>
          <w:color w:val="000000" w:themeColor="text1"/>
          <w:kern w:val="24"/>
        </w:rPr>
        <w:t>work</w:t>
      </w:r>
      <w:proofErr w:type="spellEnd"/>
      <w:r>
        <w:rPr>
          <w:rFonts w:eastAsia="MS PGothic" w:hAnsi="Calibri"/>
          <w:color w:val="000000" w:themeColor="text1"/>
          <w:kern w:val="24"/>
        </w:rPr>
        <w:t xml:space="preserve"> et puis après de développer des AGR avec un mécanisme d’épargne auprès des institutions de microfinances. Dans cet élan, la cible prioritaire sont les femmes.  </w:t>
      </w:r>
    </w:p>
    <w:p w14:paraId="3E6630B1" w14:textId="1DE6392F" w:rsidR="00065D94" w:rsidRPr="00F55BDF" w:rsidRDefault="00065D94" w:rsidP="00065D94">
      <w:pPr>
        <w:pStyle w:val="ListParagraph"/>
        <w:numPr>
          <w:ilvl w:val="0"/>
          <w:numId w:val="2"/>
        </w:numPr>
        <w:spacing w:after="0"/>
        <w:rPr>
          <w:i/>
          <w:color w:val="404040" w:themeColor="text1" w:themeTint="BF"/>
          <w:lang w:val="fr-FR"/>
        </w:rPr>
      </w:pPr>
      <w:r w:rsidRPr="00F55BDF">
        <w:rPr>
          <w:i/>
          <w:color w:val="404040" w:themeColor="text1" w:themeTint="BF"/>
          <w:lang w:val="fr-FR"/>
        </w:rPr>
        <w:t>Bonnes pratiques :</w:t>
      </w:r>
      <w:r w:rsidR="004F2316" w:rsidRPr="00F55BDF">
        <w:rPr>
          <w:i/>
          <w:color w:val="404040" w:themeColor="text1" w:themeTint="BF"/>
          <w:lang w:val="fr-FR"/>
        </w:rPr>
        <w:t xml:space="preserve"> évaluation technique à chaque fin de formation</w:t>
      </w:r>
    </w:p>
    <w:p w14:paraId="0530D141" w14:textId="4ACC6CF5" w:rsidR="00065D94" w:rsidRDefault="00915273" w:rsidP="00915273">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915273">
        <w:rPr>
          <w:rFonts w:eastAsia="MS PGothic" w:hAnsi="Calibri"/>
          <w:color w:val="000000" w:themeColor="text1"/>
          <w:kern w:val="24"/>
        </w:rPr>
        <w:lastRenderedPageBreak/>
        <w:t>A chaque fin de renforcements de capacités ou de formation, tous les participants sont évalués. Pour une nouvelle étape/phase de formation, les participants qui n’ont pas le niveau requis et non assidus seront proposés à être remplacés</w:t>
      </w:r>
      <w:r>
        <w:rPr>
          <w:rFonts w:eastAsia="MS PGothic" w:hAnsi="Calibri"/>
          <w:color w:val="000000" w:themeColor="text1"/>
          <w:kern w:val="24"/>
        </w:rPr>
        <w:t>.</w:t>
      </w:r>
    </w:p>
    <w:p w14:paraId="1E011855" w14:textId="41BDF2BE" w:rsidR="00915273" w:rsidRDefault="00915273" w:rsidP="00915273">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915273">
        <w:rPr>
          <w:rFonts w:eastAsia="MS PGothic" w:hAnsi="Calibri"/>
          <w:color w:val="000000" w:themeColor="text1"/>
          <w:kern w:val="24"/>
        </w:rPr>
        <w:t xml:space="preserve">Contribution à l’effort de reboisement </w:t>
      </w:r>
      <w:r>
        <w:rPr>
          <w:rFonts w:eastAsia="MS PGothic" w:hAnsi="Calibri"/>
          <w:color w:val="000000" w:themeColor="text1"/>
          <w:kern w:val="24"/>
        </w:rPr>
        <w:t xml:space="preserve">régional et national </w:t>
      </w:r>
      <w:r w:rsidRPr="00915273">
        <w:rPr>
          <w:rFonts w:eastAsia="MS PGothic" w:hAnsi="Calibri"/>
          <w:color w:val="000000" w:themeColor="text1"/>
          <w:kern w:val="24"/>
        </w:rPr>
        <w:t xml:space="preserve">: collaboration avec la DREDD </w:t>
      </w:r>
      <w:r>
        <w:rPr>
          <w:rFonts w:eastAsia="MS PGothic" w:hAnsi="Calibri"/>
          <w:color w:val="000000" w:themeColor="text1"/>
          <w:kern w:val="24"/>
        </w:rPr>
        <w:t xml:space="preserve">et les parties prenantes </w:t>
      </w:r>
      <w:r w:rsidRPr="00915273">
        <w:rPr>
          <w:rFonts w:eastAsia="MS PGothic" w:hAnsi="Calibri"/>
          <w:color w:val="000000" w:themeColor="text1"/>
          <w:kern w:val="24"/>
        </w:rPr>
        <w:t>dans la production de 10 000 000 de jeunes plants destinés aux AP et APC (obligation de réaliser un reboisement annuel d’au moins 1% de la superficie) ; aux associations des producteurs de charbon, des reboiseurs</w:t>
      </w:r>
      <w:r>
        <w:rPr>
          <w:rFonts w:eastAsia="MS PGothic" w:hAnsi="Calibri"/>
          <w:color w:val="000000" w:themeColor="text1"/>
          <w:kern w:val="24"/>
        </w:rPr>
        <w:t>. L’objectif est de responsabiliser les communautés locales qui sont les principaux auteurs des pressions dans les AP, APC et les forêts naturelles</w:t>
      </w:r>
      <w:r w:rsidR="00F20D84">
        <w:rPr>
          <w:rFonts w:eastAsia="MS PGothic" w:hAnsi="Calibri"/>
          <w:color w:val="000000" w:themeColor="text1"/>
          <w:kern w:val="24"/>
        </w:rPr>
        <w:t xml:space="preserve">. Rien que pour la Région </w:t>
      </w:r>
      <w:proofErr w:type="spellStart"/>
      <w:r w:rsidR="00F20D84">
        <w:rPr>
          <w:rFonts w:eastAsia="MS PGothic" w:hAnsi="Calibri"/>
          <w:color w:val="000000" w:themeColor="text1"/>
          <w:kern w:val="24"/>
        </w:rPr>
        <w:t>Atsimo</w:t>
      </w:r>
      <w:proofErr w:type="spellEnd"/>
      <w:r w:rsidR="00F20D84">
        <w:rPr>
          <w:rFonts w:eastAsia="MS PGothic" w:hAnsi="Calibri"/>
          <w:color w:val="000000" w:themeColor="text1"/>
          <w:kern w:val="24"/>
        </w:rPr>
        <w:t xml:space="preserve"> </w:t>
      </w:r>
      <w:proofErr w:type="spellStart"/>
      <w:r w:rsidR="00F20D84">
        <w:rPr>
          <w:rFonts w:eastAsia="MS PGothic" w:hAnsi="Calibri"/>
          <w:color w:val="000000" w:themeColor="text1"/>
          <w:kern w:val="24"/>
        </w:rPr>
        <w:t>Andrefana</w:t>
      </w:r>
      <w:proofErr w:type="spellEnd"/>
      <w:r w:rsidR="00F20D84">
        <w:rPr>
          <w:rFonts w:eastAsia="MS PGothic" w:hAnsi="Calibri"/>
          <w:color w:val="000000" w:themeColor="text1"/>
          <w:kern w:val="24"/>
        </w:rPr>
        <w:t>, 100% des charbons de bois et de bois de chauffe consommés proviennent des forêts naturelles. Pour renverser la tendance, il faut réaliser au moins un reboisement à vocation bois énergie de</w:t>
      </w:r>
      <w:r>
        <w:rPr>
          <w:rFonts w:eastAsia="MS PGothic" w:hAnsi="Calibri"/>
          <w:color w:val="000000" w:themeColor="text1"/>
          <w:kern w:val="24"/>
        </w:rPr>
        <w:t xml:space="preserve"> </w:t>
      </w:r>
      <w:r w:rsidR="00F20D84">
        <w:rPr>
          <w:rFonts w:eastAsia="MS PGothic" w:hAnsi="Calibri"/>
          <w:color w:val="000000" w:themeColor="text1"/>
          <w:kern w:val="24"/>
        </w:rPr>
        <w:t xml:space="preserve">3 000 Hectares annuel sur 10 ans. </w:t>
      </w:r>
    </w:p>
    <w:p w14:paraId="1169D624" w14:textId="44F2E15E" w:rsidR="00F20D84" w:rsidRDefault="00F20D84" w:rsidP="00915273">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F20D84">
        <w:rPr>
          <w:rFonts w:eastAsia="MS PGothic" w:hAnsi="Calibri"/>
          <w:color w:val="000000" w:themeColor="text1"/>
          <w:kern w:val="24"/>
        </w:rPr>
        <w:t xml:space="preserve">Collaboration avec le Ministère de l’Aménagement du Territoire/MAHTP dans l’élaboration des </w:t>
      </w:r>
      <w:proofErr w:type="spellStart"/>
      <w:r w:rsidRPr="00F20D84">
        <w:rPr>
          <w:rFonts w:eastAsia="MS PGothic" w:hAnsi="Calibri"/>
          <w:color w:val="000000" w:themeColor="text1"/>
          <w:kern w:val="24"/>
        </w:rPr>
        <w:t>SACs</w:t>
      </w:r>
      <w:proofErr w:type="spellEnd"/>
      <w:r w:rsidRPr="00F20D84">
        <w:rPr>
          <w:rFonts w:eastAsia="MS PGothic" w:hAnsi="Calibri"/>
          <w:color w:val="000000" w:themeColor="text1"/>
          <w:kern w:val="24"/>
        </w:rPr>
        <w:t xml:space="preserve"> et dans la conception des plans réguliers avec repérages et l’inventaire parcellaire de chaque APC : convention de collaboration avec le MAHTP pour les </w:t>
      </w:r>
      <w:proofErr w:type="spellStart"/>
      <w:r w:rsidRPr="00F20D84">
        <w:rPr>
          <w:rFonts w:eastAsia="MS PGothic" w:hAnsi="Calibri"/>
          <w:color w:val="000000" w:themeColor="text1"/>
          <w:kern w:val="24"/>
        </w:rPr>
        <w:t>SACs</w:t>
      </w:r>
      <w:proofErr w:type="spellEnd"/>
      <w:r w:rsidRPr="00F20D84">
        <w:rPr>
          <w:rFonts w:eastAsia="MS PGothic" w:hAnsi="Calibri"/>
          <w:color w:val="000000" w:themeColor="text1"/>
          <w:kern w:val="24"/>
        </w:rPr>
        <w:t xml:space="preserve"> et avec la Circonscription Topographique de Toliara pour les plans : bonne pratique des autres AP de la Région </w:t>
      </w:r>
      <w:proofErr w:type="spellStart"/>
      <w:r w:rsidRPr="00F20D84">
        <w:rPr>
          <w:rFonts w:eastAsia="MS PGothic" w:hAnsi="Calibri"/>
          <w:color w:val="000000" w:themeColor="text1"/>
          <w:kern w:val="24"/>
        </w:rPr>
        <w:t>Atsimo</w:t>
      </w:r>
      <w:proofErr w:type="spellEnd"/>
      <w:r w:rsidRPr="00F20D84">
        <w:rPr>
          <w:rFonts w:eastAsia="MS PGothic" w:hAnsi="Calibri"/>
          <w:color w:val="000000" w:themeColor="text1"/>
          <w:kern w:val="24"/>
        </w:rPr>
        <w:t xml:space="preserve"> </w:t>
      </w:r>
      <w:proofErr w:type="spellStart"/>
      <w:r w:rsidRPr="00F20D84">
        <w:rPr>
          <w:rFonts w:eastAsia="MS PGothic" w:hAnsi="Calibri"/>
          <w:color w:val="000000" w:themeColor="text1"/>
          <w:kern w:val="24"/>
        </w:rPr>
        <w:t>Andrefana</w:t>
      </w:r>
      <w:proofErr w:type="spellEnd"/>
      <w:r>
        <w:rPr>
          <w:rFonts w:eastAsia="MS PGothic" w:hAnsi="Calibri"/>
          <w:color w:val="000000" w:themeColor="text1"/>
          <w:kern w:val="24"/>
        </w:rPr>
        <w:t>.</w:t>
      </w:r>
    </w:p>
    <w:p w14:paraId="373FA6B6" w14:textId="77777777" w:rsidR="00DE3D33" w:rsidRPr="00DE3D33" w:rsidRDefault="00DE3D33" w:rsidP="00DE3D33">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DE3D33">
        <w:rPr>
          <w:rFonts w:eastAsia="MS PGothic" w:hAnsi="Calibri"/>
          <w:color w:val="000000" w:themeColor="text1"/>
          <w:kern w:val="24"/>
        </w:rPr>
        <w:t xml:space="preserve">Après l’absence d’un coordonnateur du projet durant les 06 mois, la redynamisation de l’équipe du projet (UCP, DREDD, Organismes d’exécution) était nécessaire même s’il y a les réunions de coordination trimestrielle de toutes les parties prenantes. Ainsi des réunions hebdomadaires pour l’équipe UCP et des réunions de coordination mensuelle entre l’équipe du projet (régionale) : UCP, DREDD, </w:t>
      </w:r>
      <w:proofErr w:type="spellStart"/>
      <w:r w:rsidRPr="00DE3D33">
        <w:rPr>
          <w:rFonts w:eastAsia="MS PGothic" w:hAnsi="Calibri"/>
          <w:color w:val="000000" w:themeColor="text1"/>
          <w:kern w:val="24"/>
        </w:rPr>
        <w:t>Tany</w:t>
      </w:r>
      <w:proofErr w:type="spellEnd"/>
      <w:r w:rsidRPr="00DE3D33">
        <w:rPr>
          <w:rFonts w:eastAsia="MS PGothic" w:hAnsi="Calibri"/>
          <w:color w:val="000000" w:themeColor="text1"/>
          <w:kern w:val="24"/>
        </w:rPr>
        <w:t xml:space="preserve"> </w:t>
      </w:r>
      <w:proofErr w:type="spellStart"/>
      <w:r w:rsidRPr="00DE3D33">
        <w:rPr>
          <w:rFonts w:eastAsia="MS PGothic" w:hAnsi="Calibri"/>
          <w:color w:val="000000" w:themeColor="text1"/>
          <w:kern w:val="24"/>
        </w:rPr>
        <w:t>Meva</w:t>
      </w:r>
      <w:proofErr w:type="spellEnd"/>
      <w:r w:rsidRPr="00DE3D33">
        <w:rPr>
          <w:rFonts w:eastAsia="MS PGothic" w:hAnsi="Calibri"/>
          <w:color w:val="000000" w:themeColor="text1"/>
          <w:kern w:val="24"/>
        </w:rPr>
        <w:t xml:space="preserve"> et SAGE sont organisées. </w:t>
      </w:r>
    </w:p>
    <w:p w14:paraId="34BCA7F8" w14:textId="77777777" w:rsidR="00DE3D33" w:rsidRDefault="00DE3D33" w:rsidP="00DE3D33">
      <w:pPr>
        <w:kinsoku w:val="0"/>
        <w:overflowPunct w:val="0"/>
        <w:spacing w:after="0" w:line="240" w:lineRule="auto"/>
        <w:ind w:left="357"/>
        <w:contextualSpacing/>
        <w:jc w:val="both"/>
        <w:textAlignment w:val="baseline"/>
        <w:rPr>
          <w:rFonts w:eastAsia="MS PGothic" w:hAnsi="Calibri"/>
          <w:color w:val="000000" w:themeColor="text1"/>
          <w:kern w:val="24"/>
        </w:rPr>
      </w:pPr>
    </w:p>
    <w:p w14:paraId="0F96AEE7" w14:textId="108D4BEA" w:rsidR="00065D94" w:rsidRPr="00F55BDF" w:rsidRDefault="00065D94" w:rsidP="00065D94">
      <w:pPr>
        <w:pStyle w:val="ListParagraph"/>
        <w:numPr>
          <w:ilvl w:val="0"/>
          <w:numId w:val="2"/>
        </w:numPr>
        <w:spacing w:after="0"/>
        <w:rPr>
          <w:i/>
          <w:color w:val="404040" w:themeColor="text1" w:themeTint="BF"/>
          <w:lang w:val="fr-FR"/>
        </w:rPr>
      </w:pPr>
      <w:r w:rsidRPr="00F55BDF">
        <w:rPr>
          <w:i/>
          <w:color w:val="404040" w:themeColor="text1" w:themeTint="BF"/>
          <w:lang w:val="fr-FR"/>
        </w:rPr>
        <w:t>Innovations (approches, collecte analyse de données etc.) :</w:t>
      </w:r>
      <w:r w:rsidR="004F2316" w:rsidRPr="00F55BDF">
        <w:rPr>
          <w:i/>
          <w:color w:val="404040" w:themeColor="text1" w:themeTint="BF"/>
          <w:lang w:val="fr-FR"/>
        </w:rPr>
        <w:t xml:space="preserve"> </w:t>
      </w:r>
    </w:p>
    <w:p w14:paraId="4469A1EA" w14:textId="1F7F4894" w:rsidR="00065D94" w:rsidRDefault="00F20D84" w:rsidP="00DE3D33">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sidRPr="00DE3D33">
        <w:rPr>
          <w:rFonts w:eastAsia="MS PGothic" w:hAnsi="Calibri"/>
          <w:color w:val="000000" w:themeColor="text1"/>
          <w:kern w:val="24"/>
        </w:rPr>
        <w:t xml:space="preserve">Une approche innovante a été adoptée pour la conception de l’outil OPTBD. </w:t>
      </w:r>
      <w:r w:rsidR="00BE60D7" w:rsidRPr="00DE3D33">
        <w:rPr>
          <w:rFonts w:eastAsia="MS PGothic" w:hAnsi="Calibri"/>
          <w:color w:val="000000" w:themeColor="text1"/>
          <w:kern w:val="24"/>
        </w:rPr>
        <w:t xml:space="preserve">Le produit livré et testé est la réalisation commune des consultants (en tant que techniciens spécialistes) et des membres de l’Equipe technique Restreinte (ETR) parties prenantes du projet. Cette dernière est constituée des futurs utilisateurs, administrateurs, décideurs et bénéficiaires de cet outil de planification territoriale, à savoir : les techniciens du MEDD (DIDDD, ONE, DGRNE), les représentants des Directions Régionales concernées par le projet (Agriculture/Elevage/Pêche ; Aménagement du Territoire/Habitat/Travaux Publics ; Mines et Ressources stratégiques), le représentant du Bureau du Cadastre Minier de Madagascar (BCMM) Bureau Toliara,  le représentant de la Région </w:t>
      </w:r>
      <w:proofErr w:type="spellStart"/>
      <w:r w:rsidR="00BE60D7" w:rsidRPr="00DE3D33">
        <w:rPr>
          <w:rFonts w:eastAsia="MS PGothic" w:hAnsi="Calibri"/>
          <w:color w:val="000000" w:themeColor="text1"/>
          <w:kern w:val="24"/>
        </w:rPr>
        <w:t>Atsimo</w:t>
      </w:r>
      <w:proofErr w:type="spellEnd"/>
      <w:r w:rsidR="00BE60D7" w:rsidRPr="00DE3D33">
        <w:rPr>
          <w:rFonts w:eastAsia="MS PGothic" w:hAnsi="Calibri"/>
          <w:color w:val="000000" w:themeColor="text1"/>
          <w:kern w:val="24"/>
        </w:rPr>
        <w:t xml:space="preserve"> </w:t>
      </w:r>
      <w:proofErr w:type="spellStart"/>
      <w:r w:rsidR="00BE60D7" w:rsidRPr="00DE3D33">
        <w:rPr>
          <w:rFonts w:eastAsia="MS PGothic" w:hAnsi="Calibri"/>
          <w:color w:val="000000" w:themeColor="text1"/>
          <w:kern w:val="24"/>
        </w:rPr>
        <w:t>Andrefana</w:t>
      </w:r>
      <w:proofErr w:type="spellEnd"/>
      <w:r w:rsidR="00BE60D7" w:rsidRPr="00DE3D33">
        <w:rPr>
          <w:rFonts w:eastAsia="MS PGothic" w:hAnsi="Calibri"/>
          <w:color w:val="000000" w:themeColor="text1"/>
          <w:kern w:val="24"/>
        </w:rPr>
        <w:t xml:space="preserve"> et le représentant des gestionnaires des 10 AP de la Région </w:t>
      </w:r>
      <w:proofErr w:type="spellStart"/>
      <w:r w:rsidR="00BE60D7" w:rsidRPr="00DE3D33">
        <w:rPr>
          <w:rFonts w:eastAsia="MS PGothic" w:hAnsi="Calibri"/>
          <w:color w:val="000000" w:themeColor="text1"/>
          <w:kern w:val="24"/>
        </w:rPr>
        <w:t>Atsimo</w:t>
      </w:r>
      <w:proofErr w:type="spellEnd"/>
      <w:r w:rsidR="00BE60D7" w:rsidRPr="00DE3D33">
        <w:rPr>
          <w:rFonts w:eastAsia="MS PGothic" w:hAnsi="Calibri"/>
          <w:color w:val="000000" w:themeColor="text1"/>
          <w:kern w:val="24"/>
        </w:rPr>
        <w:t xml:space="preserve"> </w:t>
      </w:r>
      <w:proofErr w:type="spellStart"/>
      <w:r w:rsidR="00BE60D7" w:rsidRPr="00DE3D33">
        <w:rPr>
          <w:rFonts w:eastAsia="MS PGothic" w:hAnsi="Calibri"/>
          <w:color w:val="000000" w:themeColor="text1"/>
          <w:kern w:val="24"/>
        </w:rPr>
        <w:t>Andrefana</w:t>
      </w:r>
      <w:proofErr w:type="spellEnd"/>
      <w:r w:rsidR="00BE60D7" w:rsidRPr="00DE3D33">
        <w:rPr>
          <w:rFonts w:eastAsia="MS PGothic" w:hAnsi="Calibri"/>
          <w:color w:val="000000" w:themeColor="text1"/>
          <w:kern w:val="24"/>
        </w:rPr>
        <w:t xml:space="preserve">.  C’est une approche innovante dans la mesure où les « bénéficiaires » et « utilisateurs » de l’outil </w:t>
      </w:r>
      <w:r w:rsidR="00DE3D33" w:rsidRPr="00DE3D33">
        <w:rPr>
          <w:rFonts w:eastAsia="MS PGothic" w:hAnsi="Calibri"/>
          <w:color w:val="000000" w:themeColor="text1"/>
          <w:kern w:val="24"/>
        </w:rPr>
        <w:t xml:space="preserve">a participé directement tout au long du processus de création avec les consultants techniciens. Cette approche va assurer la pérennisation de cet outil. </w:t>
      </w:r>
    </w:p>
    <w:p w14:paraId="711005A4" w14:textId="4DED58AA" w:rsidR="00DE3D33" w:rsidRPr="00DE3D33" w:rsidRDefault="00DE3D33" w:rsidP="00DE3D33">
      <w:pPr>
        <w:numPr>
          <w:ilvl w:val="0"/>
          <w:numId w:val="15"/>
        </w:numPr>
        <w:kinsoku w:val="0"/>
        <w:overflowPunct w:val="0"/>
        <w:spacing w:after="0" w:line="240" w:lineRule="auto"/>
        <w:ind w:left="357" w:hanging="357"/>
        <w:contextualSpacing/>
        <w:jc w:val="both"/>
        <w:textAlignment w:val="baseline"/>
        <w:rPr>
          <w:rFonts w:eastAsia="MS PGothic" w:hAnsi="Calibri"/>
          <w:color w:val="000000" w:themeColor="text1"/>
          <w:kern w:val="24"/>
        </w:rPr>
      </w:pPr>
      <w:r>
        <w:rPr>
          <w:rFonts w:eastAsia="MS PGothic" w:hAnsi="Calibri"/>
          <w:color w:val="000000" w:themeColor="text1"/>
          <w:kern w:val="24"/>
        </w:rPr>
        <w:t xml:space="preserve">La mise en </w:t>
      </w:r>
      <w:r w:rsidR="007770EB">
        <w:rPr>
          <w:rFonts w:eastAsia="MS PGothic" w:hAnsi="Calibri"/>
          <w:color w:val="000000" w:themeColor="text1"/>
          <w:kern w:val="24"/>
        </w:rPr>
        <w:t>place</w:t>
      </w:r>
      <w:r>
        <w:rPr>
          <w:rFonts w:eastAsia="MS PGothic" w:hAnsi="Calibri"/>
          <w:color w:val="000000" w:themeColor="text1"/>
          <w:kern w:val="24"/>
        </w:rPr>
        <w:t xml:space="preserve"> d</w:t>
      </w:r>
      <w:r w:rsidR="007770EB">
        <w:rPr>
          <w:rFonts w:eastAsia="MS PGothic" w:hAnsi="Calibri"/>
          <w:color w:val="000000" w:themeColor="text1"/>
          <w:kern w:val="24"/>
        </w:rPr>
        <w:t>es</w:t>
      </w:r>
      <w:r>
        <w:rPr>
          <w:rFonts w:eastAsia="MS PGothic" w:hAnsi="Calibri"/>
          <w:color w:val="000000" w:themeColor="text1"/>
          <w:kern w:val="24"/>
        </w:rPr>
        <w:t xml:space="preserve"> « écovillage</w:t>
      </w:r>
      <w:r w:rsidR="007770EB">
        <w:rPr>
          <w:rFonts w:eastAsia="MS PGothic" w:hAnsi="Calibri"/>
          <w:color w:val="000000" w:themeColor="text1"/>
          <w:kern w:val="24"/>
        </w:rPr>
        <w:t>s</w:t>
      </w:r>
      <w:r>
        <w:rPr>
          <w:rFonts w:eastAsia="MS PGothic" w:hAnsi="Calibri"/>
          <w:color w:val="000000" w:themeColor="text1"/>
          <w:kern w:val="24"/>
        </w:rPr>
        <w:t> »</w:t>
      </w:r>
      <w:r w:rsidR="007770EB">
        <w:rPr>
          <w:rFonts w:eastAsia="MS PGothic" w:hAnsi="Calibri"/>
          <w:color w:val="000000" w:themeColor="text1"/>
          <w:kern w:val="24"/>
        </w:rPr>
        <w:t xml:space="preserve"> dans les zones périphériques des 07 PAC est innovante dans la mesure où c’est la première fois que ce concept est mis en œuvre dans la Région </w:t>
      </w:r>
      <w:proofErr w:type="spellStart"/>
      <w:r w:rsidR="007770EB">
        <w:rPr>
          <w:rFonts w:eastAsia="MS PGothic" w:hAnsi="Calibri"/>
          <w:color w:val="000000" w:themeColor="text1"/>
          <w:kern w:val="24"/>
        </w:rPr>
        <w:t>Atsimo</w:t>
      </w:r>
      <w:proofErr w:type="spellEnd"/>
      <w:r w:rsidR="007770EB">
        <w:rPr>
          <w:rFonts w:eastAsia="MS PGothic" w:hAnsi="Calibri"/>
          <w:color w:val="000000" w:themeColor="text1"/>
          <w:kern w:val="24"/>
        </w:rPr>
        <w:t xml:space="preserve"> </w:t>
      </w:r>
      <w:proofErr w:type="spellStart"/>
      <w:r w:rsidR="007770EB">
        <w:rPr>
          <w:rFonts w:eastAsia="MS PGothic" w:hAnsi="Calibri"/>
          <w:color w:val="000000" w:themeColor="text1"/>
          <w:kern w:val="24"/>
        </w:rPr>
        <w:t>Andrefana</w:t>
      </w:r>
      <w:proofErr w:type="spellEnd"/>
      <w:r w:rsidR="007770EB">
        <w:rPr>
          <w:rFonts w:eastAsia="MS PGothic" w:hAnsi="Calibri"/>
          <w:color w:val="000000" w:themeColor="text1"/>
          <w:kern w:val="24"/>
        </w:rPr>
        <w:t>. C’est une des idées innovatrices mentionnées par l’évaluation à mi-parcours du projet. Elle contribuera à l’atteinte des objectifs sur l’amélioration des conditions de vie des populations vivant autour des 07 APC et surtout dans la création des emplois verts. Au moins 1089 ménages seront concernés par cette activité.</w:t>
      </w:r>
    </w:p>
    <w:p w14:paraId="1B4BF72B" w14:textId="77777777" w:rsidR="00F20D84" w:rsidRPr="00F20D84" w:rsidRDefault="00F20D84" w:rsidP="00000074">
      <w:pPr>
        <w:tabs>
          <w:tab w:val="left" w:pos="2093"/>
          <w:tab w:val="left" w:pos="4013"/>
          <w:tab w:val="left" w:pos="4973"/>
          <w:tab w:val="left" w:pos="5933"/>
          <w:tab w:val="left" w:pos="6893"/>
          <w:tab w:val="left" w:pos="7853"/>
        </w:tabs>
        <w:ind w:left="93"/>
        <w:rPr>
          <w:rFonts w:cs="Arial"/>
          <w:iCs/>
          <w:sz w:val="16"/>
          <w:szCs w:val="16"/>
        </w:rPr>
      </w:pPr>
    </w:p>
    <w:p w14:paraId="2C71514A" w14:textId="7748DBA5" w:rsidR="00000074" w:rsidRPr="00F55BDF" w:rsidRDefault="003E66AB" w:rsidP="00246439">
      <w:pPr>
        <w:pStyle w:val="ListParagraph"/>
        <w:numPr>
          <w:ilvl w:val="0"/>
          <w:numId w:val="1"/>
        </w:numPr>
        <w:rPr>
          <w:b/>
          <w:i/>
          <w:sz w:val="24"/>
          <w:lang w:val="fr-FR"/>
        </w:rPr>
      </w:pPr>
      <w:r w:rsidRPr="00F55BDF">
        <w:rPr>
          <w:b/>
          <w:i/>
          <w:sz w:val="24"/>
          <w:lang w:val="fr-FR"/>
        </w:rPr>
        <w:t>Observations</w:t>
      </w:r>
    </w:p>
    <w:p w14:paraId="15145E9E" w14:textId="4827EE35" w:rsidR="00F0284E" w:rsidRPr="00F55BDF" w:rsidRDefault="003E66AB" w:rsidP="00000074">
      <w:pPr>
        <w:sectPr w:rsidR="00F0284E" w:rsidRPr="00F55BDF" w:rsidSect="00246439">
          <w:pgSz w:w="11906" w:h="16838"/>
          <w:pgMar w:top="709" w:right="1418" w:bottom="1418" w:left="1418" w:header="708" w:footer="708" w:gutter="0"/>
          <w:cols w:space="708"/>
          <w:docGrid w:linePitch="360"/>
        </w:sectPr>
      </w:pPr>
      <w:r w:rsidRPr="00F55BDF">
        <w:t>(Spécifier le cas échéant toute</w:t>
      </w:r>
      <w:r w:rsidR="00E1460C" w:rsidRPr="00F55BDF">
        <w:t>s</w:t>
      </w:r>
      <w:r w:rsidRPr="00F55BDF">
        <w:t xml:space="preserve"> observation</w:t>
      </w:r>
      <w:r w:rsidR="00E1460C" w:rsidRPr="00F55BDF">
        <w:t>s</w:t>
      </w:r>
      <w:r w:rsidRPr="00F55BDF">
        <w:t xml:space="preserve"> utiles non listées dans les sections précédentes)</w:t>
      </w:r>
    </w:p>
    <w:p w14:paraId="2DD8F499" w14:textId="77777777" w:rsidR="009D5022" w:rsidRPr="00F55BDF" w:rsidRDefault="009D5022" w:rsidP="00565035">
      <w:pPr>
        <w:tabs>
          <w:tab w:val="left" w:pos="12709"/>
        </w:tabs>
        <w:rPr>
          <w:rFonts w:cs="Arial"/>
          <w:sz w:val="28"/>
        </w:rPr>
      </w:pPr>
    </w:p>
    <w:tbl>
      <w:tblPr>
        <w:tblW w:w="5000" w:type="pct"/>
        <w:tblLook w:val="04A0" w:firstRow="1" w:lastRow="0" w:firstColumn="1" w:lastColumn="0" w:noHBand="0" w:noVBand="1"/>
      </w:tblPr>
      <w:tblGrid>
        <w:gridCol w:w="5208"/>
        <w:gridCol w:w="4737"/>
        <w:gridCol w:w="4766"/>
      </w:tblGrid>
      <w:tr w:rsidR="009D5022" w:rsidRPr="00F55BDF" w14:paraId="2DE525D8" w14:textId="77777777" w:rsidTr="009D5022">
        <w:tc>
          <w:tcPr>
            <w:tcW w:w="1770" w:type="pct"/>
          </w:tcPr>
          <w:p w14:paraId="772C5C6F" w14:textId="5F2749C7" w:rsidR="009D5022" w:rsidRPr="00F55BDF" w:rsidRDefault="007F3571" w:rsidP="00665410">
            <w:pPr>
              <w:spacing w:after="0" w:line="360" w:lineRule="auto"/>
              <w:jc w:val="center"/>
              <w:rPr>
                <w:rFonts w:cs="Arial"/>
                <w:b/>
                <w:i/>
                <w:szCs w:val="20"/>
              </w:rPr>
            </w:pPr>
            <w:r w:rsidRPr="00F55BDF">
              <w:rPr>
                <w:rFonts w:cs="Arial"/>
                <w:b/>
                <w:i/>
                <w:szCs w:val="20"/>
              </w:rPr>
              <w:t>Projet/</w:t>
            </w:r>
            <w:proofErr w:type="gramStart"/>
            <w:r w:rsidRPr="00F55BDF">
              <w:rPr>
                <w:rFonts w:cs="Arial"/>
                <w:b/>
                <w:i/>
                <w:szCs w:val="20"/>
              </w:rPr>
              <w:t>programme</w:t>
            </w:r>
            <w:r w:rsidR="00DB6143" w:rsidRPr="00F55BDF">
              <w:rPr>
                <w:rFonts w:cs="Arial"/>
                <w:b/>
                <w:i/>
                <w:szCs w:val="20"/>
              </w:rPr>
              <w:t xml:space="preserve"> </w:t>
            </w:r>
            <w:r w:rsidR="009D5022" w:rsidRPr="00F55BDF">
              <w:rPr>
                <w:rFonts w:cs="Arial"/>
                <w:b/>
                <w:i/>
                <w:szCs w:val="20"/>
              </w:rPr>
              <w:t> :</w:t>
            </w:r>
            <w:proofErr w:type="gramEnd"/>
          </w:p>
          <w:p w14:paraId="7BE2F9C5" w14:textId="77777777" w:rsidR="009D5022" w:rsidRPr="00F55BDF" w:rsidRDefault="009D5022" w:rsidP="00665410">
            <w:pPr>
              <w:spacing w:after="0" w:line="360" w:lineRule="auto"/>
              <w:jc w:val="center"/>
              <w:rPr>
                <w:rFonts w:cs="Arial"/>
                <w:b/>
                <w:i/>
                <w:szCs w:val="20"/>
              </w:rPr>
            </w:pPr>
          </w:p>
        </w:tc>
        <w:tc>
          <w:tcPr>
            <w:tcW w:w="1610" w:type="pct"/>
          </w:tcPr>
          <w:p w14:paraId="4D94E6B0" w14:textId="0B981B86" w:rsidR="009D5022" w:rsidRPr="00F55BDF" w:rsidRDefault="007F3571" w:rsidP="00665410">
            <w:pPr>
              <w:spacing w:after="0" w:line="360" w:lineRule="auto"/>
              <w:jc w:val="center"/>
              <w:rPr>
                <w:rFonts w:cs="Arial"/>
                <w:b/>
                <w:i/>
                <w:szCs w:val="20"/>
              </w:rPr>
            </w:pPr>
            <w:r w:rsidRPr="00F55BDF">
              <w:rPr>
                <w:rFonts w:cs="Arial"/>
                <w:b/>
                <w:i/>
                <w:szCs w:val="20"/>
              </w:rPr>
              <w:t>Partie nationale</w:t>
            </w:r>
            <w:r w:rsidR="009D5022" w:rsidRPr="00F55BDF">
              <w:rPr>
                <w:rFonts w:cs="Arial"/>
                <w:b/>
                <w:i/>
                <w:szCs w:val="20"/>
              </w:rPr>
              <w:t> </w:t>
            </w:r>
            <w:r w:rsidR="00DB6143" w:rsidRPr="00F55BDF">
              <w:rPr>
                <w:rFonts w:cs="Arial"/>
                <w:b/>
                <w:i/>
                <w:szCs w:val="20"/>
              </w:rPr>
              <w:t>(DNP</w:t>
            </w:r>
            <w:proofErr w:type="gramStart"/>
            <w:r w:rsidR="00DB6143" w:rsidRPr="00F55BDF">
              <w:rPr>
                <w:rFonts w:cs="Arial"/>
                <w:b/>
                <w:i/>
                <w:szCs w:val="20"/>
              </w:rPr>
              <w:t>)</w:t>
            </w:r>
            <w:r w:rsidR="009D5022" w:rsidRPr="00F55BDF">
              <w:rPr>
                <w:rFonts w:cs="Arial"/>
                <w:b/>
                <w:i/>
                <w:szCs w:val="20"/>
              </w:rPr>
              <w:t>:</w:t>
            </w:r>
            <w:proofErr w:type="gramEnd"/>
          </w:p>
          <w:p w14:paraId="6462CBF8" w14:textId="77777777" w:rsidR="009D5022" w:rsidRPr="00F55BDF" w:rsidRDefault="009D5022" w:rsidP="00665410">
            <w:pPr>
              <w:spacing w:after="0" w:line="360" w:lineRule="auto"/>
              <w:jc w:val="center"/>
              <w:rPr>
                <w:rFonts w:cs="Arial"/>
                <w:b/>
                <w:i/>
                <w:szCs w:val="20"/>
              </w:rPr>
            </w:pPr>
          </w:p>
        </w:tc>
        <w:tc>
          <w:tcPr>
            <w:tcW w:w="1620" w:type="pct"/>
          </w:tcPr>
          <w:p w14:paraId="3D37E7B9" w14:textId="656497FA" w:rsidR="009D5022" w:rsidRPr="00F55BDF" w:rsidRDefault="007F3571" w:rsidP="00665410">
            <w:pPr>
              <w:spacing w:after="0" w:line="360" w:lineRule="auto"/>
              <w:jc w:val="center"/>
              <w:rPr>
                <w:rFonts w:cs="Arial"/>
                <w:b/>
                <w:i/>
                <w:szCs w:val="20"/>
              </w:rPr>
            </w:pPr>
            <w:r w:rsidRPr="00F55BDF">
              <w:rPr>
                <w:rFonts w:cs="Arial"/>
                <w:b/>
                <w:i/>
                <w:szCs w:val="20"/>
              </w:rPr>
              <w:t xml:space="preserve"> PNUD</w:t>
            </w:r>
            <w:r w:rsidR="009D5022" w:rsidRPr="00F55BDF">
              <w:rPr>
                <w:rFonts w:cs="Arial"/>
                <w:b/>
                <w:i/>
                <w:szCs w:val="20"/>
              </w:rPr>
              <w:t> </w:t>
            </w:r>
            <w:r w:rsidR="00DB6143" w:rsidRPr="00F55BDF">
              <w:rPr>
                <w:rFonts w:cs="Arial"/>
                <w:b/>
                <w:i/>
                <w:szCs w:val="20"/>
              </w:rPr>
              <w:t>(DRRP</w:t>
            </w:r>
            <w:proofErr w:type="gramStart"/>
            <w:r w:rsidR="00DB6143" w:rsidRPr="00F55BDF">
              <w:rPr>
                <w:rFonts w:cs="Arial"/>
                <w:b/>
                <w:i/>
                <w:szCs w:val="20"/>
              </w:rPr>
              <w:t>)</w:t>
            </w:r>
            <w:r w:rsidR="009D5022" w:rsidRPr="00F55BDF">
              <w:rPr>
                <w:rFonts w:cs="Arial"/>
                <w:b/>
                <w:i/>
                <w:szCs w:val="20"/>
              </w:rPr>
              <w:t>:</w:t>
            </w:r>
            <w:proofErr w:type="gramEnd"/>
          </w:p>
          <w:p w14:paraId="24C17D00" w14:textId="77777777" w:rsidR="009D5022" w:rsidRPr="00F55BDF" w:rsidRDefault="009D5022" w:rsidP="00665410">
            <w:pPr>
              <w:spacing w:after="0" w:line="360" w:lineRule="auto"/>
              <w:jc w:val="center"/>
              <w:rPr>
                <w:rFonts w:cs="Arial"/>
                <w:b/>
                <w:i/>
                <w:szCs w:val="20"/>
              </w:rPr>
            </w:pPr>
          </w:p>
        </w:tc>
      </w:tr>
      <w:tr w:rsidR="009D5022" w:rsidRPr="00F55BDF" w14:paraId="4278E901" w14:textId="77777777" w:rsidTr="009D5022">
        <w:tc>
          <w:tcPr>
            <w:tcW w:w="1770" w:type="pct"/>
          </w:tcPr>
          <w:p w14:paraId="4AE995D3" w14:textId="77777777" w:rsidR="009D5022" w:rsidRPr="00F55BDF" w:rsidRDefault="009D5022" w:rsidP="00665410">
            <w:pPr>
              <w:spacing w:after="0" w:line="360" w:lineRule="auto"/>
              <w:rPr>
                <w:rFonts w:cs="Arial"/>
                <w:szCs w:val="20"/>
              </w:rPr>
            </w:pPr>
            <w:r w:rsidRPr="00F55BDF">
              <w:rPr>
                <w:rFonts w:cs="Arial"/>
                <w:szCs w:val="20"/>
              </w:rPr>
              <w:t>Signature :</w:t>
            </w:r>
          </w:p>
          <w:p w14:paraId="7E25AEFE" w14:textId="77777777" w:rsidR="009D5022" w:rsidRPr="00F55BDF" w:rsidRDefault="009D5022" w:rsidP="00665410">
            <w:pPr>
              <w:spacing w:after="0" w:line="360" w:lineRule="auto"/>
              <w:rPr>
                <w:rFonts w:cs="Arial"/>
                <w:szCs w:val="20"/>
              </w:rPr>
            </w:pPr>
          </w:p>
          <w:p w14:paraId="06B74355" w14:textId="77777777" w:rsidR="009D5022" w:rsidRPr="00F55BDF" w:rsidRDefault="009D5022" w:rsidP="00665410">
            <w:pPr>
              <w:spacing w:after="0" w:line="360" w:lineRule="auto"/>
              <w:rPr>
                <w:rFonts w:cs="Arial"/>
                <w:szCs w:val="20"/>
              </w:rPr>
            </w:pPr>
          </w:p>
          <w:p w14:paraId="3F9ECD80" w14:textId="77777777" w:rsidR="009D5022" w:rsidRPr="00F55BDF" w:rsidRDefault="009D5022" w:rsidP="00665410">
            <w:pPr>
              <w:spacing w:after="0" w:line="360" w:lineRule="auto"/>
              <w:rPr>
                <w:rFonts w:cs="Arial"/>
                <w:szCs w:val="20"/>
              </w:rPr>
            </w:pPr>
          </w:p>
        </w:tc>
        <w:tc>
          <w:tcPr>
            <w:tcW w:w="1610" w:type="pct"/>
          </w:tcPr>
          <w:p w14:paraId="4A3E7520" w14:textId="77777777" w:rsidR="009D5022" w:rsidRPr="00F55BDF" w:rsidRDefault="009D5022" w:rsidP="00665410">
            <w:pPr>
              <w:spacing w:after="0" w:line="360" w:lineRule="auto"/>
              <w:rPr>
                <w:rFonts w:cs="Arial"/>
                <w:szCs w:val="20"/>
              </w:rPr>
            </w:pPr>
            <w:r w:rsidRPr="00F55BDF">
              <w:rPr>
                <w:rFonts w:cs="Arial"/>
                <w:szCs w:val="20"/>
              </w:rPr>
              <w:t>Signature :</w:t>
            </w:r>
          </w:p>
        </w:tc>
        <w:tc>
          <w:tcPr>
            <w:tcW w:w="1620" w:type="pct"/>
          </w:tcPr>
          <w:p w14:paraId="59202D5B" w14:textId="77777777" w:rsidR="009D5022" w:rsidRPr="00F55BDF" w:rsidRDefault="009D5022" w:rsidP="00665410">
            <w:pPr>
              <w:spacing w:after="0" w:line="360" w:lineRule="auto"/>
              <w:rPr>
                <w:rFonts w:cs="Arial"/>
                <w:szCs w:val="20"/>
              </w:rPr>
            </w:pPr>
            <w:r w:rsidRPr="00F55BDF">
              <w:rPr>
                <w:rFonts w:cs="Arial"/>
                <w:szCs w:val="20"/>
              </w:rPr>
              <w:t>Signature :</w:t>
            </w:r>
          </w:p>
        </w:tc>
      </w:tr>
      <w:tr w:rsidR="009D5022" w:rsidRPr="00F55BDF" w14:paraId="59943318" w14:textId="77777777" w:rsidTr="009D5022">
        <w:tc>
          <w:tcPr>
            <w:tcW w:w="1770" w:type="pct"/>
          </w:tcPr>
          <w:p w14:paraId="338FA940" w14:textId="77777777" w:rsidR="009D5022" w:rsidRPr="00F55BDF" w:rsidRDefault="009D5022" w:rsidP="00665410">
            <w:pPr>
              <w:spacing w:after="0" w:line="360" w:lineRule="auto"/>
              <w:rPr>
                <w:rFonts w:cs="Arial"/>
                <w:szCs w:val="20"/>
              </w:rPr>
            </w:pPr>
            <w:r w:rsidRPr="00F55BDF">
              <w:rPr>
                <w:rFonts w:cs="Arial"/>
                <w:szCs w:val="20"/>
              </w:rPr>
              <w:t>Date :</w:t>
            </w:r>
          </w:p>
          <w:p w14:paraId="295CC695" w14:textId="77777777" w:rsidR="009D5022" w:rsidRPr="00F55BDF" w:rsidRDefault="009D5022" w:rsidP="00665410">
            <w:pPr>
              <w:spacing w:after="0" w:line="360" w:lineRule="auto"/>
              <w:rPr>
                <w:rFonts w:cs="Arial"/>
                <w:szCs w:val="20"/>
              </w:rPr>
            </w:pPr>
          </w:p>
          <w:p w14:paraId="673AFCCC" w14:textId="77777777" w:rsidR="009D5022" w:rsidRPr="00F55BDF" w:rsidRDefault="009D5022" w:rsidP="00665410">
            <w:pPr>
              <w:spacing w:after="0" w:line="360" w:lineRule="auto"/>
              <w:rPr>
                <w:rFonts w:cs="Arial"/>
                <w:szCs w:val="20"/>
              </w:rPr>
            </w:pPr>
          </w:p>
        </w:tc>
        <w:tc>
          <w:tcPr>
            <w:tcW w:w="1610" w:type="pct"/>
          </w:tcPr>
          <w:p w14:paraId="5D010090" w14:textId="77777777" w:rsidR="009D5022" w:rsidRPr="00F55BDF" w:rsidRDefault="009D5022" w:rsidP="00665410">
            <w:pPr>
              <w:spacing w:after="0" w:line="360" w:lineRule="auto"/>
              <w:rPr>
                <w:rFonts w:cs="Arial"/>
                <w:szCs w:val="20"/>
              </w:rPr>
            </w:pPr>
            <w:r w:rsidRPr="00F55BDF">
              <w:rPr>
                <w:rFonts w:cs="Arial"/>
                <w:szCs w:val="20"/>
              </w:rPr>
              <w:t>Date :</w:t>
            </w:r>
          </w:p>
        </w:tc>
        <w:tc>
          <w:tcPr>
            <w:tcW w:w="1620" w:type="pct"/>
          </w:tcPr>
          <w:p w14:paraId="0A7F8815" w14:textId="77777777" w:rsidR="009D5022" w:rsidRPr="00F55BDF" w:rsidRDefault="009D5022" w:rsidP="00665410">
            <w:pPr>
              <w:spacing w:after="0" w:line="360" w:lineRule="auto"/>
              <w:rPr>
                <w:rFonts w:cs="Arial"/>
                <w:szCs w:val="20"/>
              </w:rPr>
            </w:pPr>
            <w:r w:rsidRPr="00F55BDF">
              <w:rPr>
                <w:rFonts w:cs="Arial"/>
                <w:szCs w:val="20"/>
              </w:rPr>
              <w:t>Date :</w:t>
            </w:r>
          </w:p>
        </w:tc>
      </w:tr>
    </w:tbl>
    <w:p w14:paraId="2578F2AB" w14:textId="77777777" w:rsidR="00361B1B" w:rsidRPr="00F55BDF" w:rsidRDefault="00361B1B" w:rsidP="009D5022">
      <w:pPr>
        <w:rPr>
          <w:rFonts w:cs="Arial"/>
          <w:sz w:val="28"/>
        </w:rPr>
      </w:pPr>
    </w:p>
    <w:sectPr w:rsidR="00361B1B" w:rsidRPr="00F55BDF" w:rsidSect="00246439">
      <w:pgSz w:w="16838" w:h="11906" w:orient="landscape"/>
      <w:pgMar w:top="1418" w:right="709" w:bottom="1418" w:left="1418" w:header="141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Patrick Solomampionona" w:date="2020-01-06T10:01:00Z" w:initials="PS">
    <w:p w14:paraId="2CA80CDD" w14:textId="46023AE0" w:rsidR="00DF4D7E" w:rsidRDefault="00DF4D7E">
      <w:pPr>
        <w:pStyle w:val="CommentText"/>
      </w:pPr>
      <w:r>
        <w:rPr>
          <w:rStyle w:val="CommentReference"/>
        </w:rPr>
        <w:annotationRef/>
      </w:r>
    </w:p>
  </w:comment>
  <w:comment w:id="5" w:author="Patrick Solomampionona" w:date="2020-01-06T10:01:00Z" w:initials="PS">
    <w:p w14:paraId="3EF2D4D9" w14:textId="39623A15" w:rsidR="00DF4D7E" w:rsidRDefault="00DF4D7E">
      <w:pPr>
        <w:pStyle w:val="CommentText"/>
      </w:pPr>
      <w:r>
        <w:rPr>
          <w:rStyle w:val="CommentReference"/>
        </w:rPr>
        <w:annotationRef/>
      </w:r>
      <w:r w:rsidR="00FB3DF4">
        <w:t xml:space="preserve">Merci de considérer comme emplois verts </w:t>
      </w:r>
      <w:r w:rsidR="00390E3A">
        <w:t xml:space="preserve">(car </w:t>
      </w:r>
      <w:r w:rsidR="00377F96">
        <w:t>ont pour objectifs de protéger l’environnement) : 4.2 (avec les 19</w:t>
      </w:r>
      <w:r w:rsidR="00F7274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80CDD" w15:done="0"/>
  <w15:commentEx w15:paraId="3EF2D4D9" w15:paraIdParent="2CA80C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80CDD" w16cid:durableId="21BD83E7"/>
  <w16cid:commentId w16cid:paraId="3EF2D4D9" w16cid:durableId="21BD8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129A9" w14:textId="77777777" w:rsidR="00EB3650" w:rsidRDefault="00EB3650" w:rsidP="0008755B">
      <w:pPr>
        <w:spacing w:after="0" w:line="240" w:lineRule="auto"/>
      </w:pPr>
      <w:r>
        <w:separator/>
      </w:r>
    </w:p>
  </w:endnote>
  <w:endnote w:type="continuationSeparator" w:id="0">
    <w:p w14:paraId="4D28216E" w14:textId="77777777" w:rsidR="00EB3650" w:rsidRDefault="00EB3650" w:rsidP="0008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693223"/>
      <w:docPartObj>
        <w:docPartGallery w:val="Page Numbers (Bottom of Page)"/>
        <w:docPartUnique/>
      </w:docPartObj>
    </w:sdtPr>
    <w:sdtEndPr/>
    <w:sdtContent>
      <w:sdt>
        <w:sdtPr>
          <w:id w:val="-1323893831"/>
          <w:docPartObj>
            <w:docPartGallery w:val="Page Numbers (Top of Page)"/>
            <w:docPartUnique/>
          </w:docPartObj>
        </w:sdtPr>
        <w:sdtEndPr/>
        <w:sdtContent>
          <w:p w14:paraId="3E06C662" w14:textId="5ED7F207" w:rsidR="00D970D6" w:rsidRDefault="00D970D6">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24F56E27" w14:textId="77777777" w:rsidR="00D970D6" w:rsidRDefault="00D97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293A" w14:textId="77777777" w:rsidR="00EB3650" w:rsidRDefault="00EB3650" w:rsidP="0008755B">
      <w:pPr>
        <w:spacing w:after="0" w:line="240" w:lineRule="auto"/>
      </w:pPr>
      <w:r>
        <w:separator/>
      </w:r>
    </w:p>
  </w:footnote>
  <w:footnote w:type="continuationSeparator" w:id="0">
    <w:p w14:paraId="79BB5E1D" w14:textId="77777777" w:rsidR="00EB3650" w:rsidRDefault="00EB3650" w:rsidP="0008755B">
      <w:pPr>
        <w:spacing w:after="0" w:line="240" w:lineRule="auto"/>
      </w:pPr>
      <w:r>
        <w:continuationSeparator/>
      </w:r>
    </w:p>
  </w:footnote>
  <w:footnote w:id="1">
    <w:p w14:paraId="5DF4A17C" w14:textId="145BAF8E" w:rsidR="00D970D6" w:rsidRDefault="00D970D6">
      <w:pPr>
        <w:pStyle w:val="FootnoteText"/>
      </w:pPr>
      <w:r>
        <w:rPr>
          <w:rStyle w:val="FootnoteReference"/>
        </w:rPr>
        <w:footnoteRef/>
      </w:r>
      <w:r>
        <w:t xml:space="preserve"> In « rapport d’évaluation à mi-parcours du projet APAA », Recommandation 2 ; pp 52 ; Cabinet BAASTEL, 10 décembre 2019.</w:t>
      </w:r>
    </w:p>
  </w:footnote>
  <w:footnote w:id="2">
    <w:p w14:paraId="398B40F7" w14:textId="4B288893" w:rsidR="00D970D6" w:rsidRDefault="00D970D6">
      <w:pPr>
        <w:pStyle w:val="FootnoteText"/>
      </w:pPr>
      <w:r>
        <w:rPr>
          <w:rStyle w:val="FootnoteReference"/>
        </w:rPr>
        <w:footnoteRef/>
      </w:r>
      <w:r>
        <w:t xml:space="preserve"> In </w:t>
      </w:r>
      <w:r w:rsidRPr="000C4A9E">
        <w:t xml:space="preserve">« rapport d’évaluation à mi-parcours du projet APAA », Recommandation </w:t>
      </w:r>
      <w:r>
        <w:t>8</w:t>
      </w:r>
      <w:r w:rsidRPr="000C4A9E">
        <w:t xml:space="preserve"> ; pp 52 ; Cabinet BAASTEL, 10 décembre 2019.</w:t>
      </w:r>
    </w:p>
  </w:footnote>
  <w:footnote w:id="3">
    <w:p w14:paraId="6B2B9AAB" w14:textId="17A8BF32" w:rsidR="00D970D6" w:rsidRDefault="00D970D6">
      <w:pPr>
        <w:pStyle w:val="FootnoteText"/>
      </w:pPr>
      <w:r>
        <w:rPr>
          <w:rStyle w:val="FootnoteReference"/>
        </w:rPr>
        <w:footnoteRef/>
      </w:r>
      <w:r>
        <w:t xml:space="preserve"> Cette situation est aussi observée par les évaluateurs et mentionnée dans le rapport de l’évaluation à mi-parcours du </w:t>
      </w:r>
      <w:proofErr w:type="gramStart"/>
      <w:r>
        <w:t>projet .</w:t>
      </w:r>
      <w:proofErr w:type="gram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6FF0"/>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644F2"/>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016DCF"/>
    <w:multiLevelType w:val="hybridMultilevel"/>
    <w:tmpl w:val="DB3633B2"/>
    <w:lvl w:ilvl="0" w:tplc="915A96C8">
      <w:start w:val="1"/>
      <w:numFmt w:val="bullet"/>
      <w:lvlText w:val="•"/>
      <w:lvlJc w:val="left"/>
      <w:pPr>
        <w:tabs>
          <w:tab w:val="num" w:pos="720"/>
        </w:tabs>
        <w:ind w:left="720" w:hanging="360"/>
      </w:pPr>
      <w:rPr>
        <w:rFonts w:ascii="Arial" w:hAnsi="Arial" w:hint="default"/>
      </w:rPr>
    </w:lvl>
    <w:lvl w:ilvl="1" w:tplc="E6E0BEFC" w:tentative="1">
      <w:start w:val="1"/>
      <w:numFmt w:val="bullet"/>
      <w:lvlText w:val="•"/>
      <w:lvlJc w:val="left"/>
      <w:pPr>
        <w:tabs>
          <w:tab w:val="num" w:pos="1440"/>
        </w:tabs>
        <w:ind w:left="1440" w:hanging="360"/>
      </w:pPr>
      <w:rPr>
        <w:rFonts w:ascii="Arial" w:hAnsi="Arial" w:hint="default"/>
      </w:rPr>
    </w:lvl>
    <w:lvl w:ilvl="2" w:tplc="6428E1A0" w:tentative="1">
      <w:start w:val="1"/>
      <w:numFmt w:val="bullet"/>
      <w:lvlText w:val="•"/>
      <w:lvlJc w:val="left"/>
      <w:pPr>
        <w:tabs>
          <w:tab w:val="num" w:pos="2160"/>
        </w:tabs>
        <w:ind w:left="2160" w:hanging="360"/>
      </w:pPr>
      <w:rPr>
        <w:rFonts w:ascii="Arial" w:hAnsi="Arial" w:hint="default"/>
      </w:rPr>
    </w:lvl>
    <w:lvl w:ilvl="3" w:tplc="47D656E0" w:tentative="1">
      <w:start w:val="1"/>
      <w:numFmt w:val="bullet"/>
      <w:lvlText w:val="•"/>
      <w:lvlJc w:val="left"/>
      <w:pPr>
        <w:tabs>
          <w:tab w:val="num" w:pos="2880"/>
        </w:tabs>
        <w:ind w:left="2880" w:hanging="360"/>
      </w:pPr>
      <w:rPr>
        <w:rFonts w:ascii="Arial" w:hAnsi="Arial" w:hint="default"/>
      </w:rPr>
    </w:lvl>
    <w:lvl w:ilvl="4" w:tplc="6486FF3E" w:tentative="1">
      <w:start w:val="1"/>
      <w:numFmt w:val="bullet"/>
      <w:lvlText w:val="•"/>
      <w:lvlJc w:val="left"/>
      <w:pPr>
        <w:tabs>
          <w:tab w:val="num" w:pos="3600"/>
        </w:tabs>
        <w:ind w:left="3600" w:hanging="360"/>
      </w:pPr>
      <w:rPr>
        <w:rFonts w:ascii="Arial" w:hAnsi="Arial" w:hint="default"/>
      </w:rPr>
    </w:lvl>
    <w:lvl w:ilvl="5" w:tplc="8BDE3F12" w:tentative="1">
      <w:start w:val="1"/>
      <w:numFmt w:val="bullet"/>
      <w:lvlText w:val="•"/>
      <w:lvlJc w:val="left"/>
      <w:pPr>
        <w:tabs>
          <w:tab w:val="num" w:pos="4320"/>
        </w:tabs>
        <w:ind w:left="4320" w:hanging="360"/>
      </w:pPr>
      <w:rPr>
        <w:rFonts w:ascii="Arial" w:hAnsi="Arial" w:hint="default"/>
      </w:rPr>
    </w:lvl>
    <w:lvl w:ilvl="6" w:tplc="298082C0" w:tentative="1">
      <w:start w:val="1"/>
      <w:numFmt w:val="bullet"/>
      <w:lvlText w:val="•"/>
      <w:lvlJc w:val="left"/>
      <w:pPr>
        <w:tabs>
          <w:tab w:val="num" w:pos="5040"/>
        </w:tabs>
        <w:ind w:left="5040" w:hanging="360"/>
      </w:pPr>
      <w:rPr>
        <w:rFonts w:ascii="Arial" w:hAnsi="Arial" w:hint="default"/>
      </w:rPr>
    </w:lvl>
    <w:lvl w:ilvl="7" w:tplc="76A2BAD4" w:tentative="1">
      <w:start w:val="1"/>
      <w:numFmt w:val="bullet"/>
      <w:lvlText w:val="•"/>
      <w:lvlJc w:val="left"/>
      <w:pPr>
        <w:tabs>
          <w:tab w:val="num" w:pos="5760"/>
        </w:tabs>
        <w:ind w:left="5760" w:hanging="360"/>
      </w:pPr>
      <w:rPr>
        <w:rFonts w:ascii="Arial" w:hAnsi="Arial" w:hint="default"/>
      </w:rPr>
    </w:lvl>
    <w:lvl w:ilvl="8" w:tplc="D076CF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F423C2"/>
    <w:multiLevelType w:val="hybridMultilevel"/>
    <w:tmpl w:val="DF929358"/>
    <w:lvl w:ilvl="0" w:tplc="15663E70">
      <w:start w:val="1"/>
      <w:numFmt w:val="bullet"/>
      <w:lvlText w:val="•"/>
      <w:lvlJc w:val="left"/>
      <w:pPr>
        <w:tabs>
          <w:tab w:val="num" w:pos="720"/>
        </w:tabs>
        <w:ind w:left="720" w:hanging="360"/>
      </w:pPr>
      <w:rPr>
        <w:rFonts w:ascii="Arial" w:hAnsi="Arial" w:hint="default"/>
      </w:rPr>
    </w:lvl>
    <w:lvl w:ilvl="1" w:tplc="B7F4985A" w:tentative="1">
      <w:start w:val="1"/>
      <w:numFmt w:val="bullet"/>
      <w:lvlText w:val="•"/>
      <w:lvlJc w:val="left"/>
      <w:pPr>
        <w:tabs>
          <w:tab w:val="num" w:pos="1440"/>
        </w:tabs>
        <w:ind w:left="1440" w:hanging="360"/>
      </w:pPr>
      <w:rPr>
        <w:rFonts w:ascii="Arial" w:hAnsi="Arial" w:hint="default"/>
      </w:rPr>
    </w:lvl>
    <w:lvl w:ilvl="2" w:tplc="2DA0DDA4" w:tentative="1">
      <w:start w:val="1"/>
      <w:numFmt w:val="bullet"/>
      <w:lvlText w:val="•"/>
      <w:lvlJc w:val="left"/>
      <w:pPr>
        <w:tabs>
          <w:tab w:val="num" w:pos="2160"/>
        </w:tabs>
        <w:ind w:left="2160" w:hanging="360"/>
      </w:pPr>
      <w:rPr>
        <w:rFonts w:ascii="Arial" w:hAnsi="Arial" w:hint="default"/>
      </w:rPr>
    </w:lvl>
    <w:lvl w:ilvl="3" w:tplc="633A0818" w:tentative="1">
      <w:start w:val="1"/>
      <w:numFmt w:val="bullet"/>
      <w:lvlText w:val="•"/>
      <w:lvlJc w:val="left"/>
      <w:pPr>
        <w:tabs>
          <w:tab w:val="num" w:pos="2880"/>
        </w:tabs>
        <w:ind w:left="2880" w:hanging="360"/>
      </w:pPr>
      <w:rPr>
        <w:rFonts w:ascii="Arial" w:hAnsi="Arial" w:hint="default"/>
      </w:rPr>
    </w:lvl>
    <w:lvl w:ilvl="4" w:tplc="FC804554" w:tentative="1">
      <w:start w:val="1"/>
      <w:numFmt w:val="bullet"/>
      <w:lvlText w:val="•"/>
      <w:lvlJc w:val="left"/>
      <w:pPr>
        <w:tabs>
          <w:tab w:val="num" w:pos="3600"/>
        </w:tabs>
        <w:ind w:left="3600" w:hanging="360"/>
      </w:pPr>
      <w:rPr>
        <w:rFonts w:ascii="Arial" w:hAnsi="Arial" w:hint="default"/>
      </w:rPr>
    </w:lvl>
    <w:lvl w:ilvl="5" w:tplc="24EE4828" w:tentative="1">
      <w:start w:val="1"/>
      <w:numFmt w:val="bullet"/>
      <w:lvlText w:val="•"/>
      <w:lvlJc w:val="left"/>
      <w:pPr>
        <w:tabs>
          <w:tab w:val="num" w:pos="4320"/>
        </w:tabs>
        <w:ind w:left="4320" w:hanging="360"/>
      </w:pPr>
      <w:rPr>
        <w:rFonts w:ascii="Arial" w:hAnsi="Arial" w:hint="default"/>
      </w:rPr>
    </w:lvl>
    <w:lvl w:ilvl="6" w:tplc="9D9E1C88" w:tentative="1">
      <w:start w:val="1"/>
      <w:numFmt w:val="bullet"/>
      <w:lvlText w:val="•"/>
      <w:lvlJc w:val="left"/>
      <w:pPr>
        <w:tabs>
          <w:tab w:val="num" w:pos="5040"/>
        </w:tabs>
        <w:ind w:left="5040" w:hanging="360"/>
      </w:pPr>
      <w:rPr>
        <w:rFonts w:ascii="Arial" w:hAnsi="Arial" w:hint="default"/>
      </w:rPr>
    </w:lvl>
    <w:lvl w:ilvl="7" w:tplc="E646CA94" w:tentative="1">
      <w:start w:val="1"/>
      <w:numFmt w:val="bullet"/>
      <w:lvlText w:val="•"/>
      <w:lvlJc w:val="left"/>
      <w:pPr>
        <w:tabs>
          <w:tab w:val="num" w:pos="5760"/>
        </w:tabs>
        <w:ind w:left="5760" w:hanging="360"/>
      </w:pPr>
      <w:rPr>
        <w:rFonts w:ascii="Arial" w:hAnsi="Arial" w:hint="default"/>
      </w:rPr>
    </w:lvl>
    <w:lvl w:ilvl="8" w:tplc="2D7C70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9A0EAF"/>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CD0425"/>
    <w:multiLevelType w:val="hybridMultilevel"/>
    <w:tmpl w:val="430478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2F365B"/>
    <w:multiLevelType w:val="hybridMultilevel"/>
    <w:tmpl w:val="56A0AA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2E6C6D"/>
    <w:multiLevelType w:val="hybridMultilevel"/>
    <w:tmpl w:val="780CE7A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9D52F5"/>
    <w:multiLevelType w:val="hybridMultilevel"/>
    <w:tmpl w:val="E8B2B8D2"/>
    <w:lvl w:ilvl="0" w:tplc="2E30456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F73FE4"/>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BB74A9"/>
    <w:multiLevelType w:val="hybridMultilevel"/>
    <w:tmpl w:val="9CBC5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676AFA"/>
    <w:multiLevelType w:val="hybridMultilevel"/>
    <w:tmpl w:val="90EACCC4"/>
    <w:lvl w:ilvl="0" w:tplc="2E304560">
      <w:numFmt w:val="bullet"/>
      <w:lvlText w:val="-"/>
      <w:lvlJc w:val="left"/>
      <w:pPr>
        <w:ind w:left="720" w:hanging="360"/>
      </w:pPr>
      <w:rPr>
        <w:rFonts w:ascii="Calibri" w:eastAsiaTheme="minorHAnsi" w:hAnsi="Calibri" w:cstheme="minorBidi" w:hint="default"/>
      </w:rPr>
    </w:lvl>
    <w:lvl w:ilvl="1" w:tplc="D8E20DB4">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B878A6"/>
    <w:multiLevelType w:val="hybridMultilevel"/>
    <w:tmpl w:val="E7089994"/>
    <w:lvl w:ilvl="0" w:tplc="9DF0A17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8041C0E"/>
    <w:multiLevelType w:val="hybridMultilevel"/>
    <w:tmpl w:val="52C4806A"/>
    <w:lvl w:ilvl="0" w:tplc="EFDA1B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651303"/>
    <w:multiLevelType w:val="hybridMultilevel"/>
    <w:tmpl w:val="DB667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586775"/>
    <w:multiLevelType w:val="hybridMultilevel"/>
    <w:tmpl w:val="093487AE"/>
    <w:lvl w:ilvl="0" w:tplc="E74840FA">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3"/>
  </w:num>
  <w:num w:numId="3">
    <w:abstractNumId w:val="15"/>
  </w:num>
  <w:num w:numId="4">
    <w:abstractNumId w:val="6"/>
  </w:num>
  <w:num w:numId="5">
    <w:abstractNumId w:val="10"/>
  </w:num>
  <w:num w:numId="6">
    <w:abstractNumId w:val="8"/>
  </w:num>
  <w:num w:numId="7">
    <w:abstractNumId w:val="14"/>
  </w:num>
  <w:num w:numId="8">
    <w:abstractNumId w:val="4"/>
  </w:num>
  <w:num w:numId="9">
    <w:abstractNumId w:val="1"/>
  </w:num>
  <w:num w:numId="10">
    <w:abstractNumId w:val="11"/>
  </w:num>
  <w:num w:numId="11">
    <w:abstractNumId w:val="9"/>
  </w:num>
  <w:num w:numId="12">
    <w:abstractNumId w:val="7"/>
  </w:num>
  <w:num w:numId="13">
    <w:abstractNumId w:val="5"/>
  </w:num>
  <w:num w:numId="14">
    <w:abstractNumId w:val="12"/>
  </w:num>
  <w:num w:numId="15">
    <w:abstractNumId w:val="3"/>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Solomampionona">
    <w15:presenceInfo w15:providerId="AD" w15:userId="S::patrick.solomampionona@undp.org::d7fa0e10-5aa7-4d68-ab0b-7ad6b2ee4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F7"/>
    <w:rsid w:val="00000074"/>
    <w:rsid w:val="00006439"/>
    <w:rsid w:val="00016FBD"/>
    <w:rsid w:val="000213A7"/>
    <w:rsid w:val="0002335A"/>
    <w:rsid w:val="00027F8C"/>
    <w:rsid w:val="00056893"/>
    <w:rsid w:val="00056A79"/>
    <w:rsid w:val="00061325"/>
    <w:rsid w:val="00065D94"/>
    <w:rsid w:val="00086391"/>
    <w:rsid w:val="0008755B"/>
    <w:rsid w:val="00090BF7"/>
    <w:rsid w:val="000A1BCC"/>
    <w:rsid w:val="000A3798"/>
    <w:rsid w:val="000A70B3"/>
    <w:rsid w:val="000B3C91"/>
    <w:rsid w:val="000C4A9E"/>
    <w:rsid w:val="000C66F2"/>
    <w:rsid w:val="000C7DB2"/>
    <w:rsid w:val="000E308A"/>
    <w:rsid w:val="000E3334"/>
    <w:rsid w:val="00104CED"/>
    <w:rsid w:val="00110F42"/>
    <w:rsid w:val="00120C64"/>
    <w:rsid w:val="00120FE5"/>
    <w:rsid w:val="001472A9"/>
    <w:rsid w:val="001476B7"/>
    <w:rsid w:val="00156062"/>
    <w:rsid w:val="001619FE"/>
    <w:rsid w:val="00175B92"/>
    <w:rsid w:val="00175D1E"/>
    <w:rsid w:val="00180835"/>
    <w:rsid w:val="001873DC"/>
    <w:rsid w:val="00192806"/>
    <w:rsid w:val="001A107B"/>
    <w:rsid w:val="001B7324"/>
    <w:rsid w:val="001B7FA3"/>
    <w:rsid w:val="001C08C1"/>
    <w:rsid w:val="001C0F99"/>
    <w:rsid w:val="001F028D"/>
    <w:rsid w:val="00203AE8"/>
    <w:rsid w:val="00204E92"/>
    <w:rsid w:val="00207A06"/>
    <w:rsid w:val="002203B6"/>
    <w:rsid w:val="002320FA"/>
    <w:rsid w:val="002348DE"/>
    <w:rsid w:val="00235AD9"/>
    <w:rsid w:val="00246439"/>
    <w:rsid w:val="00256D4D"/>
    <w:rsid w:val="00263EAE"/>
    <w:rsid w:val="00271DAF"/>
    <w:rsid w:val="00283328"/>
    <w:rsid w:val="002943D9"/>
    <w:rsid w:val="002A6327"/>
    <w:rsid w:val="002A6C69"/>
    <w:rsid w:val="002B0F0B"/>
    <w:rsid w:val="002C268B"/>
    <w:rsid w:val="002D6068"/>
    <w:rsid w:val="00303D3F"/>
    <w:rsid w:val="00314678"/>
    <w:rsid w:val="0032098A"/>
    <w:rsid w:val="003269AC"/>
    <w:rsid w:val="003370DA"/>
    <w:rsid w:val="0034155E"/>
    <w:rsid w:val="00356E7B"/>
    <w:rsid w:val="00361B1B"/>
    <w:rsid w:val="00365859"/>
    <w:rsid w:val="00365879"/>
    <w:rsid w:val="00373599"/>
    <w:rsid w:val="003755A4"/>
    <w:rsid w:val="00375C2C"/>
    <w:rsid w:val="00377F96"/>
    <w:rsid w:val="00383FB7"/>
    <w:rsid w:val="0039036F"/>
    <w:rsid w:val="00390E3A"/>
    <w:rsid w:val="003B1203"/>
    <w:rsid w:val="003B4CB1"/>
    <w:rsid w:val="003B5DDF"/>
    <w:rsid w:val="003C04B2"/>
    <w:rsid w:val="003D0501"/>
    <w:rsid w:val="003D7D1E"/>
    <w:rsid w:val="003E41C4"/>
    <w:rsid w:val="003E66AB"/>
    <w:rsid w:val="004002FD"/>
    <w:rsid w:val="004009C6"/>
    <w:rsid w:val="00401638"/>
    <w:rsid w:val="0041483C"/>
    <w:rsid w:val="00423F2B"/>
    <w:rsid w:val="00424DA4"/>
    <w:rsid w:val="00431568"/>
    <w:rsid w:val="00433682"/>
    <w:rsid w:val="00462D15"/>
    <w:rsid w:val="00465E19"/>
    <w:rsid w:val="00471B2D"/>
    <w:rsid w:val="004758E9"/>
    <w:rsid w:val="00475D99"/>
    <w:rsid w:val="004A530E"/>
    <w:rsid w:val="004B2E6A"/>
    <w:rsid w:val="004B5027"/>
    <w:rsid w:val="004B6159"/>
    <w:rsid w:val="004C2D40"/>
    <w:rsid w:val="004D5EC9"/>
    <w:rsid w:val="004F2316"/>
    <w:rsid w:val="004F2447"/>
    <w:rsid w:val="004F2DAB"/>
    <w:rsid w:val="00501AEB"/>
    <w:rsid w:val="005024B4"/>
    <w:rsid w:val="00503C7E"/>
    <w:rsid w:val="00507202"/>
    <w:rsid w:val="00507327"/>
    <w:rsid w:val="005124D2"/>
    <w:rsid w:val="00514493"/>
    <w:rsid w:val="00516F1A"/>
    <w:rsid w:val="00520462"/>
    <w:rsid w:val="005211AB"/>
    <w:rsid w:val="00521644"/>
    <w:rsid w:val="00527C2F"/>
    <w:rsid w:val="005367B5"/>
    <w:rsid w:val="00542A3A"/>
    <w:rsid w:val="00554429"/>
    <w:rsid w:val="00560578"/>
    <w:rsid w:val="005610E3"/>
    <w:rsid w:val="00565035"/>
    <w:rsid w:val="0056514C"/>
    <w:rsid w:val="00570643"/>
    <w:rsid w:val="005728A0"/>
    <w:rsid w:val="005827D8"/>
    <w:rsid w:val="00590E82"/>
    <w:rsid w:val="005A1CA8"/>
    <w:rsid w:val="005A7BF6"/>
    <w:rsid w:val="005B3900"/>
    <w:rsid w:val="005C1AA8"/>
    <w:rsid w:val="005C4D98"/>
    <w:rsid w:val="005D5B2E"/>
    <w:rsid w:val="005E103D"/>
    <w:rsid w:val="005E3292"/>
    <w:rsid w:val="005E42ED"/>
    <w:rsid w:val="006103CE"/>
    <w:rsid w:val="0061395C"/>
    <w:rsid w:val="006245DE"/>
    <w:rsid w:val="00624624"/>
    <w:rsid w:val="00624F96"/>
    <w:rsid w:val="00630D35"/>
    <w:rsid w:val="00642F13"/>
    <w:rsid w:val="0065773F"/>
    <w:rsid w:val="00665410"/>
    <w:rsid w:val="00671886"/>
    <w:rsid w:val="00676F94"/>
    <w:rsid w:val="00683E09"/>
    <w:rsid w:val="00686581"/>
    <w:rsid w:val="0069382B"/>
    <w:rsid w:val="00695DB3"/>
    <w:rsid w:val="006B472C"/>
    <w:rsid w:val="006C36B5"/>
    <w:rsid w:val="006C5072"/>
    <w:rsid w:val="006E47E7"/>
    <w:rsid w:val="006E6D46"/>
    <w:rsid w:val="006E6D9E"/>
    <w:rsid w:val="006F0B41"/>
    <w:rsid w:val="006F35D9"/>
    <w:rsid w:val="0071796C"/>
    <w:rsid w:val="00723618"/>
    <w:rsid w:val="0072625E"/>
    <w:rsid w:val="007414AE"/>
    <w:rsid w:val="007507FE"/>
    <w:rsid w:val="00753A14"/>
    <w:rsid w:val="007560E5"/>
    <w:rsid w:val="00764B7B"/>
    <w:rsid w:val="007659D5"/>
    <w:rsid w:val="00767176"/>
    <w:rsid w:val="007770EB"/>
    <w:rsid w:val="00780049"/>
    <w:rsid w:val="00781D71"/>
    <w:rsid w:val="007A01B6"/>
    <w:rsid w:val="007A5B18"/>
    <w:rsid w:val="007B255E"/>
    <w:rsid w:val="007B6423"/>
    <w:rsid w:val="007D2F15"/>
    <w:rsid w:val="007D697E"/>
    <w:rsid w:val="007E3F26"/>
    <w:rsid w:val="007F2965"/>
    <w:rsid w:val="007F3571"/>
    <w:rsid w:val="007F3F56"/>
    <w:rsid w:val="00800573"/>
    <w:rsid w:val="00805EA2"/>
    <w:rsid w:val="008267A3"/>
    <w:rsid w:val="0084568F"/>
    <w:rsid w:val="00851432"/>
    <w:rsid w:val="00856FB6"/>
    <w:rsid w:val="00864839"/>
    <w:rsid w:val="00873171"/>
    <w:rsid w:val="00882CA6"/>
    <w:rsid w:val="00887DF2"/>
    <w:rsid w:val="00892240"/>
    <w:rsid w:val="0089727D"/>
    <w:rsid w:val="008A6D7D"/>
    <w:rsid w:val="008B2267"/>
    <w:rsid w:val="008C363C"/>
    <w:rsid w:val="008C3F23"/>
    <w:rsid w:val="008D4CCE"/>
    <w:rsid w:val="008E2533"/>
    <w:rsid w:val="008E3FC2"/>
    <w:rsid w:val="008F5792"/>
    <w:rsid w:val="009048C2"/>
    <w:rsid w:val="00915273"/>
    <w:rsid w:val="00916C8A"/>
    <w:rsid w:val="00921B1C"/>
    <w:rsid w:val="00923DF2"/>
    <w:rsid w:val="009360F0"/>
    <w:rsid w:val="009461EC"/>
    <w:rsid w:val="00950C2F"/>
    <w:rsid w:val="00952A30"/>
    <w:rsid w:val="0096355A"/>
    <w:rsid w:val="00976BE1"/>
    <w:rsid w:val="00990E78"/>
    <w:rsid w:val="009A0FFD"/>
    <w:rsid w:val="009A407F"/>
    <w:rsid w:val="009A5040"/>
    <w:rsid w:val="009C0FB5"/>
    <w:rsid w:val="009C1DF0"/>
    <w:rsid w:val="009C4BD8"/>
    <w:rsid w:val="009D4EAA"/>
    <w:rsid w:val="009D5022"/>
    <w:rsid w:val="009E26A1"/>
    <w:rsid w:val="009E3FC9"/>
    <w:rsid w:val="009F0894"/>
    <w:rsid w:val="009F1CD6"/>
    <w:rsid w:val="009F6B4F"/>
    <w:rsid w:val="00A033E8"/>
    <w:rsid w:val="00A03A7E"/>
    <w:rsid w:val="00A11140"/>
    <w:rsid w:val="00A2749E"/>
    <w:rsid w:val="00A27637"/>
    <w:rsid w:val="00A331FA"/>
    <w:rsid w:val="00A34FA2"/>
    <w:rsid w:val="00A44857"/>
    <w:rsid w:val="00A53EA5"/>
    <w:rsid w:val="00A77885"/>
    <w:rsid w:val="00A8365E"/>
    <w:rsid w:val="00A9194B"/>
    <w:rsid w:val="00A92544"/>
    <w:rsid w:val="00A94499"/>
    <w:rsid w:val="00A94FE0"/>
    <w:rsid w:val="00AA0595"/>
    <w:rsid w:val="00AA43A9"/>
    <w:rsid w:val="00AB0ED7"/>
    <w:rsid w:val="00AB240B"/>
    <w:rsid w:val="00B15BBA"/>
    <w:rsid w:val="00B1789F"/>
    <w:rsid w:val="00B209C4"/>
    <w:rsid w:val="00B27E96"/>
    <w:rsid w:val="00B3457C"/>
    <w:rsid w:val="00B5423C"/>
    <w:rsid w:val="00B6577F"/>
    <w:rsid w:val="00B7128D"/>
    <w:rsid w:val="00B90B5C"/>
    <w:rsid w:val="00BA3650"/>
    <w:rsid w:val="00BC1452"/>
    <w:rsid w:val="00BD2809"/>
    <w:rsid w:val="00BD3926"/>
    <w:rsid w:val="00BD7CE2"/>
    <w:rsid w:val="00BE60D7"/>
    <w:rsid w:val="00BE6C49"/>
    <w:rsid w:val="00BF1172"/>
    <w:rsid w:val="00BF54A0"/>
    <w:rsid w:val="00BF5D82"/>
    <w:rsid w:val="00C01D12"/>
    <w:rsid w:val="00C04C8D"/>
    <w:rsid w:val="00C0640A"/>
    <w:rsid w:val="00C16CF1"/>
    <w:rsid w:val="00C2696A"/>
    <w:rsid w:val="00C30F42"/>
    <w:rsid w:val="00C33632"/>
    <w:rsid w:val="00C53D1B"/>
    <w:rsid w:val="00C558AE"/>
    <w:rsid w:val="00C75840"/>
    <w:rsid w:val="00CB4263"/>
    <w:rsid w:val="00CC7C12"/>
    <w:rsid w:val="00CD1C88"/>
    <w:rsid w:val="00CD623A"/>
    <w:rsid w:val="00CD7307"/>
    <w:rsid w:val="00CF2BAD"/>
    <w:rsid w:val="00D03F55"/>
    <w:rsid w:val="00D11EAE"/>
    <w:rsid w:val="00D331E5"/>
    <w:rsid w:val="00D6342E"/>
    <w:rsid w:val="00D704B5"/>
    <w:rsid w:val="00D70DA4"/>
    <w:rsid w:val="00D7593B"/>
    <w:rsid w:val="00D76C59"/>
    <w:rsid w:val="00D8242D"/>
    <w:rsid w:val="00D949D0"/>
    <w:rsid w:val="00D95D5A"/>
    <w:rsid w:val="00D970D6"/>
    <w:rsid w:val="00DA62AB"/>
    <w:rsid w:val="00DB6143"/>
    <w:rsid w:val="00DC7454"/>
    <w:rsid w:val="00DE3D33"/>
    <w:rsid w:val="00DF4D7E"/>
    <w:rsid w:val="00DF5CF0"/>
    <w:rsid w:val="00E0054D"/>
    <w:rsid w:val="00E02D9F"/>
    <w:rsid w:val="00E051DA"/>
    <w:rsid w:val="00E1460C"/>
    <w:rsid w:val="00E436DC"/>
    <w:rsid w:val="00E440FA"/>
    <w:rsid w:val="00E51FC3"/>
    <w:rsid w:val="00E70737"/>
    <w:rsid w:val="00E7092D"/>
    <w:rsid w:val="00E73198"/>
    <w:rsid w:val="00E75CCA"/>
    <w:rsid w:val="00E77FFA"/>
    <w:rsid w:val="00E84A5D"/>
    <w:rsid w:val="00E85C6E"/>
    <w:rsid w:val="00EA6244"/>
    <w:rsid w:val="00EB19C5"/>
    <w:rsid w:val="00EB3650"/>
    <w:rsid w:val="00EB6D20"/>
    <w:rsid w:val="00ED19C5"/>
    <w:rsid w:val="00ED1A95"/>
    <w:rsid w:val="00ED59AA"/>
    <w:rsid w:val="00EE7D79"/>
    <w:rsid w:val="00F0284E"/>
    <w:rsid w:val="00F03B0A"/>
    <w:rsid w:val="00F04E89"/>
    <w:rsid w:val="00F20D84"/>
    <w:rsid w:val="00F21D55"/>
    <w:rsid w:val="00F26196"/>
    <w:rsid w:val="00F26A2D"/>
    <w:rsid w:val="00F44A00"/>
    <w:rsid w:val="00F51AC1"/>
    <w:rsid w:val="00F55BDF"/>
    <w:rsid w:val="00F6590D"/>
    <w:rsid w:val="00F7246A"/>
    <w:rsid w:val="00F7274F"/>
    <w:rsid w:val="00F7509E"/>
    <w:rsid w:val="00F776FB"/>
    <w:rsid w:val="00F86F65"/>
    <w:rsid w:val="00F91141"/>
    <w:rsid w:val="00F94250"/>
    <w:rsid w:val="00F9618F"/>
    <w:rsid w:val="00FA1E5A"/>
    <w:rsid w:val="00FA6D81"/>
    <w:rsid w:val="00FB342D"/>
    <w:rsid w:val="00FB3DF4"/>
    <w:rsid w:val="00FB5790"/>
    <w:rsid w:val="00FB63B2"/>
    <w:rsid w:val="00FD1889"/>
    <w:rsid w:val="00FD540F"/>
    <w:rsid w:val="00FD6856"/>
    <w:rsid w:val="00FE6927"/>
    <w:rsid w:val="00FF1251"/>
    <w:rsid w:val="00FF4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27552"/>
  <w15:docId w15:val="{234495D0-E797-4BAE-82B8-F2249521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5B"/>
  </w:style>
  <w:style w:type="paragraph" w:styleId="Heading1">
    <w:name w:val="heading 1"/>
    <w:basedOn w:val="Normal"/>
    <w:next w:val="Normal"/>
    <w:link w:val="Heading1Char"/>
    <w:uiPriority w:val="9"/>
    <w:qFormat/>
    <w:rsid w:val="00087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55B"/>
    <w:rPr>
      <w:rFonts w:asciiTheme="majorHAnsi" w:eastAsiaTheme="majorEastAsia" w:hAnsiTheme="majorHAnsi" w:cstheme="majorBidi"/>
      <w:b/>
      <w:bCs/>
      <w:color w:val="365F91" w:themeColor="accent1" w:themeShade="BF"/>
      <w:sz w:val="28"/>
      <w:szCs w:val="28"/>
      <w:lang w:val="en-GB"/>
    </w:rPr>
  </w:style>
  <w:style w:type="paragraph" w:styleId="BodyText">
    <w:name w:val="Body Text"/>
    <w:basedOn w:val="Normal"/>
    <w:link w:val="BodyTextChar"/>
    <w:rsid w:val="0008755B"/>
    <w:pPr>
      <w:spacing w:after="120" w:line="240" w:lineRule="auto"/>
      <w:jc w:val="both"/>
    </w:pPr>
    <w:rPr>
      <w:rFonts w:ascii="Myriad Pro" w:eastAsia="Times New Roman" w:hAnsi="Myriad Pro" w:cs="Times New Roman"/>
      <w:szCs w:val="24"/>
      <w:lang w:val="en-US"/>
    </w:rPr>
  </w:style>
  <w:style w:type="character" w:customStyle="1" w:styleId="BodyTextChar">
    <w:name w:val="Body Text Char"/>
    <w:basedOn w:val="DefaultParagraphFont"/>
    <w:link w:val="BodyText"/>
    <w:rsid w:val="0008755B"/>
    <w:rPr>
      <w:rFonts w:ascii="Myriad Pro" w:eastAsia="Times New Roman" w:hAnsi="Myriad Pro" w:cs="Times New Roman"/>
      <w:szCs w:val="24"/>
      <w:lang w:val="en-US"/>
    </w:rPr>
  </w:style>
  <w:style w:type="paragraph" w:styleId="BalloonText">
    <w:name w:val="Balloon Text"/>
    <w:basedOn w:val="Normal"/>
    <w:link w:val="BalloonTextChar"/>
    <w:uiPriority w:val="99"/>
    <w:semiHidden/>
    <w:unhideWhenUsed/>
    <w:rsid w:val="00087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55B"/>
    <w:rPr>
      <w:rFonts w:ascii="Tahoma" w:hAnsi="Tahoma" w:cs="Tahoma"/>
      <w:sz w:val="16"/>
      <w:szCs w:val="16"/>
      <w:lang w:val="en-GB"/>
    </w:rPr>
  </w:style>
  <w:style w:type="paragraph" w:styleId="Header">
    <w:name w:val="header"/>
    <w:basedOn w:val="Normal"/>
    <w:link w:val="HeaderChar"/>
    <w:unhideWhenUsed/>
    <w:rsid w:val="0008755B"/>
    <w:pPr>
      <w:tabs>
        <w:tab w:val="center" w:pos="4536"/>
        <w:tab w:val="right" w:pos="9072"/>
      </w:tabs>
      <w:spacing w:after="0" w:line="240" w:lineRule="auto"/>
    </w:pPr>
  </w:style>
  <w:style w:type="character" w:customStyle="1" w:styleId="HeaderChar">
    <w:name w:val="Header Char"/>
    <w:basedOn w:val="DefaultParagraphFont"/>
    <w:link w:val="Header"/>
    <w:rsid w:val="0008755B"/>
    <w:rPr>
      <w:lang w:val="en-GB"/>
    </w:rPr>
  </w:style>
  <w:style w:type="paragraph" w:styleId="Footer">
    <w:name w:val="footer"/>
    <w:basedOn w:val="Normal"/>
    <w:link w:val="FooterChar"/>
    <w:uiPriority w:val="99"/>
    <w:unhideWhenUsed/>
    <w:rsid w:val="000875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55B"/>
    <w:rPr>
      <w:lang w:val="en-GB"/>
    </w:rPr>
  </w:style>
  <w:style w:type="table" w:styleId="TableGrid">
    <w:name w:val="Table Grid"/>
    <w:basedOn w:val="TableNormal"/>
    <w:rsid w:val="00F028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284E"/>
    <w:pPr>
      <w:spacing w:before="200" w:after="240"/>
      <w:ind w:left="720"/>
      <w:contextualSpacing/>
    </w:pPr>
    <w:rPr>
      <w:lang w:val="en-US"/>
    </w:rPr>
  </w:style>
  <w:style w:type="character" w:styleId="CommentReference">
    <w:name w:val="annotation reference"/>
    <w:basedOn w:val="DefaultParagraphFont"/>
    <w:rsid w:val="00361B1B"/>
    <w:rPr>
      <w:sz w:val="16"/>
      <w:szCs w:val="16"/>
    </w:rPr>
  </w:style>
  <w:style w:type="paragraph" w:styleId="CommentText">
    <w:name w:val="annotation text"/>
    <w:basedOn w:val="Normal"/>
    <w:link w:val="CommentTextChar"/>
    <w:rsid w:val="00361B1B"/>
    <w:pPr>
      <w:spacing w:after="6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61B1B"/>
    <w:rPr>
      <w:rFonts w:ascii="Arial" w:eastAsia="Times New Roman" w:hAnsi="Arial" w:cs="Times New Roman"/>
      <w:sz w:val="20"/>
      <w:szCs w:val="20"/>
      <w:lang w:val="en-GB"/>
    </w:rPr>
  </w:style>
  <w:style w:type="character" w:styleId="FootnoteReference">
    <w:name w:val="footnote reference"/>
    <w:basedOn w:val="DefaultParagraphFont"/>
    <w:semiHidden/>
    <w:unhideWhenUsed/>
    <w:rsid w:val="00465E19"/>
    <w:rPr>
      <w:vertAlign w:val="superscript"/>
    </w:rPr>
  </w:style>
  <w:style w:type="character" w:customStyle="1" w:styleId="roarquestion">
    <w:name w:val="roar_question"/>
    <w:rsid w:val="00000074"/>
  </w:style>
  <w:style w:type="paragraph" w:styleId="CommentSubject">
    <w:name w:val="annotation subject"/>
    <w:basedOn w:val="CommentText"/>
    <w:next w:val="CommentText"/>
    <w:link w:val="CommentSubjectChar"/>
    <w:uiPriority w:val="99"/>
    <w:semiHidden/>
    <w:unhideWhenUsed/>
    <w:rsid w:val="00A2749E"/>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2749E"/>
    <w:rPr>
      <w:rFonts w:ascii="Arial" w:eastAsia="Times New Roman" w:hAnsi="Arial" w:cs="Times New Roman"/>
      <w:b/>
      <w:bCs/>
      <w:sz w:val="20"/>
      <w:szCs w:val="20"/>
      <w:lang w:val="en-GB"/>
    </w:rPr>
  </w:style>
  <w:style w:type="paragraph" w:styleId="FootnoteText">
    <w:name w:val="footnote text"/>
    <w:basedOn w:val="Normal"/>
    <w:link w:val="FootnoteTextChar"/>
    <w:uiPriority w:val="99"/>
    <w:semiHidden/>
    <w:unhideWhenUsed/>
    <w:rsid w:val="007800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0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3014">
      <w:bodyDiv w:val="1"/>
      <w:marLeft w:val="0"/>
      <w:marRight w:val="0"/>
      <w:marTop w:val="0"/>
      <w:marBottom w:val="0"/>
      <w:divBdr>
        <w:top w:val="none" w:sz="0" w:space="0" w:color="auto"/>
        <w:left w:val="none" w:sz="0" w:space="0" w:color="auto"/>
        <w:bottom w:val="none" w:sz="0" w:space="0" w:color="auto"/>
        <w:right w:val="none" w:sz="0" w:space="0" w:color="auto"/>
      </w:divBdr>
      <w:divsChild>
        <w:div w:id="1856654972">
          <w:marLeft w:val="446"/>
          <w:marRight w:val="0"/>
          <w:marTop w:val="67"/>
          <w:marBottom w:val="0"/>
          <w:divBdr>
            <w:top w:val="none" w:sz="0" w:space="0" w:color="auto"/>
            <w:left w:val="none" w:sz="0" w:space="0" w:color="auto"/>
            <w:bottom w:val="none" w:sz="0" w:space="0" w:color="auto"/>
            <w:right w:val="none" w:sz="0" w:space="0" w:color="auto"/>
          </w:divBdr>
        </w:div>
        <w:div w:id="1953314910">
          <w:marLeft w:val="446"/>
          <w:marRight w:val="0"/>
          <w:marTop w:val="67"/>
          <w:marBottom w:val="0"/>
          <w:divBdr>
            <w:top w:val="none" w:sz="0" w:space="0" w:color="auto"/>
            <w:left w:val="none" w:sz="0" w:space="0" w:color="auto"/>
            <w:bottom w:val="none" w:sz="0" w:space="0" w:color="auto"/>
            <w:right w:val="none" w:sz="0" w:space="0" w:color="auto"/>
          </w:divBdr>
        </w:div>
        <w:div w:id="1437556226">
          <w:marLeft w:val="446"/>
          <w:marRight w:val="0"/>
          <w:marTop w:val="67"/>
          <w:marBottom w:val="0"/>
          <w:divBdr>
            <w:top w:val="none" w:sz="0" w:space="0" w:color="auto"/>
            <w:left w:val="none" w:sz="0" w:space="0" w:color="auto"/>
            <w:bottom w:val="none" w:sz="0" w:space="0" w:color="auto"/>
            <w:right w:val="none" w:sz="0" w:space="0" w:color="auto"/>
          </w:divBdr>
        </w:div>
        <w:div w:id="646787692">
          <w:marLeft w:val="446"/>
          <w:marRight w:val="0"/>
          <w:marTop w:val="67"/>
          <w:marBottom w:val="0"/>
          <w:divBdr>
            <w:top w:val="none" w:sz="0" w:space="0" w:color="auto"/>
            <w:left w:val="none" w:sz="0" w:space="0" w:color="auto"/>
            <w:bottom w:val="none" w:sz="0" w:space="0" w:color="auto"/>
            <w:right w:val="none" w:sz="0" w:space="0" w:color="auto"/>
          </w:divBdr>
        </w:div>
        <w:div w:id="2015305240">
          <w:marLeft w:val="446"/>
          <w:marRight w:val="0"/>
          <w:marTop w:val="0"/>
          <w:marBottom w:val="0"/>
          <w:divBdr>
            <w:top w:val="none" w:sz="0" w:space="0" w:color="auto"/>
            <w:left w:val="none" w:sz="0" w:space="0" w:color="auto"/>
            <w:bottom w:val="none" w:sz="0" w:space="0" w:color="auto"/>
            <w:right w:val="none" w:sz="0" w:space="0" w:color="auto"/>
          </w:divBdr>
        </w:div>
        <w:div w:id="1115170943">
          <w:marLeft w:val="446"/>
          <w:marRight w:val="0"/>
          <w:marTop w:val="0"/>
          <w:marBottom w:val="0"/>
          <w:divBdr>
            <w:top w:val="none" w:sz="0" w:space="0" w:color="auto"/>
            <w:left w:val="none" w:sz="0" w:space="0" w:color="auto"/>
            <w:bottom w:val="none" w:sz="0" w:space="0" w:color="auto"/>
            <w:right w:val="none" w:sz="0" w:space="0" w:color="auto"/>
          </w:divBdr>
        </w:div>
        <w:div w:id="1475760185">
          <w:marLeft w:val="446"/>
          <w:marRight w:val="0"/>
          <w:marTop w:val="67"/>
          <w:marBottom w:val="0"/>
          <w:divBdr>
            <w:top w:val="none" w:sz="0" w:space="0" w:color="auto"/>
            <w:left w:val="none" w:sz="0" w:space="0" w:color="auto"/>
            <w:bottom w:val="none" w:sz="0" w:space="0" w:color="auto"/>
            <w:right w:val="none" w:sz="0" w:space="0" w:color="auto"/>
          </w:divBdr>
        </w:div>
        <w:div w:id="1570769498">
          <w:marLeft w:val="446"/>
          <w:marRight w:val="0"/>
          <w:marTop w:val="0"/>
          <w:marBottom w:val="0"/>
          <w:divBdr>
            <w:top w:val="none" w:sz="0" w:space="0" w:color="auto"/>
            <w:left w:val="none" w:sz="0" w:space="0" w:color="auto"/>
            <w:bottom w:val="none" w:sz="0" w:space="0" w:color="auto"/>
            <w:right w:val="none" w:sz="0" w:space="0" w:color="auto"/>
          </w:divBdr>
        </w:div>
        <w:div w:id="1583954441">
          <w:marLeft w:val="446"/>
          <w:marRight w:val="0"/>
          <w:marTop w:val="67"/>
          <w:marBottom w:val="0"/>
          <w:divBdr>
            <w:top w:val="none" w:sz="0" w:space="0" w:color="auto"/>
            <w:left w:val="none" w:sz="0" w:space="0" w:color="auto"/>
            <w:bottom w:val="none" w:sz="0" w:space="0" w:color="auto"/>
            <w:right w:val="none" w:sz="0" w:space="0" w:color="auto"/>
          </w:divBdr>
        </w:div>
        <w:div w:id="487600602">
          <w:marLeft w:val="446"/>
          <w:marRight w:val="0"/>
          <w:marTop w:val="0"/>
          <w:marBottom w:val="0"/>
          <w:divBdr>
            <w:top w:val="none" w:sz="0" w:space="0" w:color="auto"/>
            <w:left w:val="none" w:sz="0" w:space="0" w:color="auto"/>
            <w:bottom w:val="none" w:sz="0" w:space="0" w:color="auto"/>
            <w:right w:val="none" w:sz="0" w:space="0" w:color="auto"/>
          </w:divBdr>
        </w:div>
        <w:div w:id="150684156">
          <w:marLeft w:val="446"/>
          <w:marRight w:val="0"/>
          <w:marTop w:val="0"/>
          <w:marBottom w:val="0"/>
          <w:divBdr>
            <w:top w:val="none" w:sz="0" w:space="0" w:color="auto"/>
            <w:left w:val="none" w:sz="0" w:space="0" w:color="auto"/>
            <w:bottom w:val="none" w:sz="0" w:space="0" w:color="auto"/>
            <w:right w:val="none" w:sz="0" w:space="0" w:color="auto"/>
          </w:divBdr>
        </w:div>
        <w:div w:id="1389768355">
          <w:marLeft w:val="446"/>
          <w:marRight w:val="0"/>
          <w:marTop w:val="0"/>
          <w:marBottom w:val="0"/>
          <w:divBdr>
            <w:top w:val="none" w:sz="0" w:space="0" w:color="auto"/>
            <w:left w:val="none" w:sz="0" w:space="0" w:color="auto"/>
            <w:bottom w:val="none" w:sz="0" w:space="0" w:color="auto"/>
            <w:right w:val="none" w:sz="0" w:space="0" w:color="auto"/>
          </w:divBdr>
        </w:div>
      </w:divsChild>
    </w:div>
    <w:div w:id="403067749">
      <w:bodyDiv w:val="1"/>
      <w:marLeft w:val="0"/>
      <w:marRight w:val="0"/>
      <w:marTop w:val="0"/>
      <w:marBottom w:val="0"/>
      <w:divBdr>
        <w:top w:val="none" w:sz="0" w:space="0" w:color="auto"/>
        <w:left w:val="none" w:sz="0" w:space="0" w:color="auto"/>
        <w:bottom w:val="none" w:sz="0" w:space="0" w:color="auto"/>
        <w:right w:val="none" w:sz="0" w:space="0" w:color="auto"/>
      </w:divBdr>
    </w:div>
    <w:div w:id="692192665">
      <w:bodyDiv w:val="1"/>
      <w:marLeft w:val="0"/>
      <w:marRight w:val="0"/>
      <w:marTop w:val="0"/>
      <w:marBottom w:val="0"/>
      <w:divBdr>
        <w:top w:val="none" w:sz="0" w:space="0" w:color="auto"/>
        <w:left w:val="none" w:sz="0" w:space="0" w:color="auto"/>
        <w:bottom w:val="none" w:sz="0" w:space="0" w:color="auto"/>
        <w:right w:val="none" w:sz="0" w:space="0" w:color="auto"/>
      </w:divBdr>
      <w:divsChild>
        <w:div w:id="413862440">
          <w:marLeft w:val="446"/>
          <w:marRight w:val="0"/>
          <w:marTop w:val="0"/>
          <w:marBottom w:val="0"/>
          <w:divBdr>
            <w:top w:val="none" w:sz="0" w:space="0" w:color="auto"/>
            <w:left w:val="none" w:sz="0" w:space="0" w:color="auto"/>
            <w:bottom w:val="none" w:sz="0" w:space="0" w:color="auto"/>
            <w:right w:val="none" w:sz="0" w:space="0" w:color="auto"/>
          </w:divBdr>
        </w:div>
        <w:div w:id="1095786974">
          <w:marLeft w:val="446"/>
          <w:marRight w:val="0"/>
          <w:marTop w:val="0"/>
          <w:marBottom w:val="0"/>
          <w:divBdr>
            <w:top w:val="none" w:sz="0" w:space="0" w:color="auto"/>
            <w:left w:val="none" w:sz="0" w:space="0" w:color="auto"/>
            <w:bottom w:val="none" w:sz="0" w:space="0" w:color="auto"/>
            <w:right w:val="none" w:sz="0" w:space="0" w:color="auto"/>
          </w:divBdr>
        </w:div>
        <w:div w:id="444925228">
          <w:marLeft w:val="446"/>
          <w:marRight w:val="0"/>
          <w:marTop w:val="0"/>
          <w:marBottom w:val="0"/>
          <w:divBdr>
            <w:top w:val="none" w:sz="0" w:space="0" w:color="auto"/>
            <w:left w:val="none" w:sz="0" w:space="0" w:color="auto"/>
            <w:bottom w:val="none" w:sz="0" w:space="0" w:color="auto"/>
            <w:right w:val="none" w:sz="0" w:space="0" w:color="auto"/>
          </w:divBdr>
        </w:div>
        <w:div w:id="1437211365">
          <w:marLeft w:val="446"/>
          <w:marRight w:val="0"/>
          <w:marTop w:val="0"/>
          <w:marBottom w:val="0"/>
          <w:divBdr>
            <w:top w:val="none" w:sz="0" w:space="0" w:color="auto"/>
            <w:left w:val="none" w:sz="0" w:space="0" w:color="auto"/>
            <w:bottom w:val="none" w:sz="0" w:space="0" w:color="auto"/>
            <w:right w:val="none" w:sz="0" w:space="0" w:color="auto"/>
          </w:divBdr>
        </w:div>
        <w:div w:id="736514452">
          <w:marLeft w:val="446"/>
          <w:marRight w:val="0"/>
          <w:marTop w:val="67"/>
          <w:marBottom w:val="0"/>
          <w:divBdr>
            <w:top w:val="none" w:sz="0" w:space="0" w:color="auto"/>
            <w:left w:val="none" w:sz="0" w:space="0" w:color="auto"/>
            <w:bottom w:val="none" w:sz="0" w:space="0" w:color="auto"/>
            <w:right w:val="none" w:sz="0" w:space="0" w:color="auto"/>
          </w:divBdr>
        </w:div>
        <w:div w:id="1947342919">
          <w:marLeft w:val="446"/>
          <w:marRight w:val="0"/>
          <w:marTop w:val="67"/>
          <w:marBottom w:val="0"/>
          <w:divBdr>
            <w:top w:val="none" w:sz="0" w:space="0" w:color="auto"/>
            <w:left w:val="none" w:sz="0" w:space="0" w:color="auto"/>
            <w:bottom w:val="none" w:sz="0" w:space="0" w:color="auto"/>
            <w:right w:val="none" w:sz="0" w:space="0" w:color="auto"/>
          </w:divBdr>
        </w:div>
        <w:div w:id="1427994160">
          <w:marLeft w:val="446"/>
          <w:marRight w:val="0"/>
          <w:marTop w:val="67"/>
          <w:marBottom w:val="0"/>
          <w:divBdr>
            <w:top w:val="none" w:sz="0" w:space="0" w:color="auto"/>
            <w:left w:val="none" w:sz="0" w:space="0" w:color="auto"/>
            <w:bottom w:val="none" w:sz="0" w:space="0" w:color="auto"/>
            <w:right w:val="none" w:sz="0" w:space="0" w:color="auto"/>
          </w:divBdr>
        </w:div>
      </w:divsChild>
    </w:div>
    <w:div w:id="1397435415">
      <w:bodyDiv w:val="1"/>
      <w:marLeft w:val="0"/>
      <w:marRight w:val="0"/>
      <w:marTop w:val="0"/>
      <w:marBottom w:val="0"/>
      <w:divBdr>
        <w:top w:val="none" w:sz="0" w:space="0" w:color="auto"/>
        <w:left w:val="none" w:sz="0" w:space="0" w:color="auto"/>
        <w:bottom w:val="none" w:sz="0" w:space="0" w:color="auto"/>
        <w:right w:val="none" w:sz="0" w:space="0" w:color="auto"/>
      </w:divBdr>
      <w:divsChild>
        <w:div w:id="1994992982">
          <w:marLeft w:val="446"/>
          <w:marRight w:val="0"/>
          <w:marTop w:val="67"/>
          <w:marBottom w:val="0"/>
          <w:divBdr>
            <w:top w:val="none" w:sz="0" w:space="0" w:color="auto"/>
            <w:left w:val="none" w:sz="0" w:space="0" w:color="auto"/>
            <w:bottom w:val="none" w:sz="0" w:space="0" w:color="auto"/>
            <w:right w:val="none" w:sz="0" w:space="0" w:color="auto"/>
          </w:divBdr>
        </w:div>
        <w:div w:id="2041054697">
          <w:marLeft w:val="446"/>
          <w:marRight w:val="0"/>
          <w:marTop w:val="67"/>
          <w:marBottom w:val="0"/>
          <w:divBdr>
            <w:top w:val="none" w:sz="0" w:space="0" w:color="auto"/>
            <w:left w:val="none" w:sz="0" w:space="0" w:color="auto"/>
            <w:bottom w:val="none" w:sz="0" w:space="0" w:color="auto"/>
            <w:right w:val="none" w:sz="0" w:space="0" w:color="auto"/>
          </w:divBdr>
        </w:div>
        <w:div w:id="921064970">
          <w:marLeft w:val="446"/>
          <w:marRight w:val="0"/>
          <w:marTop w:val="67"/>
          <w:marBottom w:val="0"/>
          <w:divBdr>
            <w:top w:val="none" w:sz="0" w:space="0" w:color="auto"/>
            <w:left w:val="none" w:sz="0" w:space="0" w:color="auto"/>
            <w:bottom w:val="none" w:sz="0" w:space="0" w:color="auto"/>
            <w:right w:val="none" w:sz="0" w:space="0" w:color="auto"/>
          </w:divBdr>
        </w:div>
        <w:div w:id="1118521989">
          <w:marLeft w:val="446"/>
          <w:marRight w:val="0"/>
          <w:marTop w:val="67"/>
          <w:marBottom w:val="0"/>
          <w:divBdr>
            <w:top w:val="none" w:sz="0" w:space="0" w:color="auto"/>
            <w:left w:val="none" w:sz="0" w:space="0" w:color="auto"/>
            <w:bottom w:val="none" w:sz="0" w:space="0" w:color="auto"/>
            <w:right w:val="none" w:sz="0" w:space="0" w:color="auto"/>
          </w:divBdr>
        </w:div>
        <w:div w:id="599487245">
          <w:marLeft w:val="446"/>
          <w:marRight w:val="0"/>
          <w:marTop w:val="0"/>
          <w:marBottom w:val="0"/>
          <w:divBdr>
            <w:top w:val="none" w:sz="0" w:space="0" w:color="auto"/>
            <w:left w:val="none" w:sz="0" w:space="0" w:color="auto"/>
            <w:bottom w:val="none" w:sz="0" w:space="0" w:color="auto"/>
            <w:right w:val="none" w:sz="0" w:space="0" w:color="auto"/>
          </w:divBdr>
        </w:div>
        <w:div w:id="7993003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41.74.222.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customXml" Target="../customXml/item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2020-01-15T12:00:00+00:00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233</Value>
      <Value>1512</Value>
      <Value>763</Value>
    </TaxCatchAll>
    <c4e2ab2cc9354bbf9064eeb465a566ea xmlns="1ed4137b-41b2-488b-8250-6d369ec27664">
      <Terms xmlns="http://schemas.microsoft.com/office/infopath/2007/PartnerControls"/>
    </c4e2ab2cc9354bbf9064eeb465a566ea>
    <UndpProjectNo xmlns="1ed4137b-41b2-488b-8250-6d369ec27664">00099229</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MDG</TermName>
          <TermId xmlns="http://schemas.microsoft.com/office/infopath/2007/PartnerControls">734d9724-0d28-433f-bd2f-b3730612e39b</TermId>
        </TermInfo>
      </Terms>
    </gc6531b704974d528487414686b72f6f>
    <_dlc_DocId xmlns="f1161f5b-24a3-4c2d-bc81-44cb9325e8ee">ATLASPDC-4-111059</_dlc_DocId>
    <_dlc_DocIdUrl xmlns="f1161f5b-24a3-4c2d-bc81-44cb9325e8ee">
      <Url>https://info.undp.org/docs/pdc/_layouts/DocIdRedir.aspx?ID=ATLASPDC-4-111059</Url>
      <Description>ATLASPDC-4-111059</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B971C0-AFA8-4E0D-840F-F289967F39F0}"/>
</file>

<file path=customXml/itemProps2.xml><?xml version="1.0" encoding="utf-8"?>
<ds:datastoreItem xmlns:ds="http://schemas.openxmlformats.org/officeDocument/2006/customXml" ds:itemID="{14FAF338-F3B7-43B1-A9C2-CBF573CA0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55BF1-2E9D-41E7-B49F-505F487405D4}">
  <ds:schemaRefs>
    <ds:schemaRef ds:uri="http://schemas.microsoft.com/sharepoint/v3/contenttype/forms"/>
  </ds:schemaRefs>
</ds:datastoreItem>
</file>

<file path=customXml/itemProps4.xml><?xml version="1.0" encoding="utf-8"?>
<ds:datastoreItem xmlns:ds="http://schemas.openxmlformats.org/officeDocument/2006/customXml" ds:itemID="{262320EB-990F-4A46-B112-C911261E8A6F}">
  <ds:schemaRefs>
    <ds:schemaRef ds:uri="http://schemas.openxmlformats.org/officeDocument/2006/bibliography"/>
  </ds:schemaRefs>
</ds:datastoreItem>
</file>

<file path=customXml/itemProps5.xml><?xml version="1.0" encoding="utf-8"?>
<ds:datastoreItem xmlns:ds="http://schemas.openxmlformats.org/officeDocument/2006/customXml" ds:itemID="{C097545C-86D2-45E0-878C-4888D6D8BCAF}"/>
</file>

<file path=customXml/itemProps6.xml><?xml version="1.0" encoding="utf-8"?>
<ds:datastoreItem xmlns:ds="http://schemas.openxmlformats.org/officeDocument/2006/customXml" ds:itemID="{FBD397FB-F491-454F-92CF-FAA483B4F53B}"/>
</file>

<file path=docProps/app.xml><?xml version="1.0" encoding="utf-8"?>
<Properties xmlns="http://schemas.openxmlformats.org/officeDocument/2006/extended-properties" xmlns:vt="http://schemas.openxmlformats.org/officeDocument/2006/docPropsVTypes">
  <Template>Normal</Template>
  <TotalTime>6</TotalTime>
  <Pages>26</Pages>
  <Words>9726</Words>
  <Characters>53493</Characters>
  <Application>Microsoft Office Word</Application>
  <DocSecurity>0</DocSecurity>
  <Lines>445</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Rakotonandrasana</dc:creator>
  <cp:lastModifiedBy>Patrick Solomampionona</cp:lastModifiedBy>
  <cp:revision>6</cp:revision>
  <dcterms:created xsi:type="dcterms:W3CDTF">2020-01-08T14:44:00Z</dcterms:created>
  <dcterms:modified xsi:type="dcterms:W3CDTF">2020-01-13T14:04:00Z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1512;#MDG|734d9724-0d28-433f-bd2f-b3730612e39b</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7c2af41f-5d76-492f-bd11-49783f4c4fb6</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